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小标宋简体" w:hAnsi="方正小标宋简体" w:eastAsia="方正小标宋简体" w:cs="方正小标宋简体"/>
          <w:sz w:val="40"/>
          <w:szCs w:val="40"/>
          <w:lang w:eastAsia="zh-CN"/>
        </w:rPr>
      </w:pPr>
    </w:p>
    <w:p>
      <w:pPr>
        <w:widowControl/>
        <w:shd w:val="clear" w:color="auto" w:fill="FEFEFE"/>
        <w:spacing w:beforeLines="0" w:afterLines="0" w:line="560" w:lineRule="exact"/>
        <w:ind w:left="-1" w:leftChars="0" w:right="120" w:firstLine="0" w:firstLineChars="0"/>
        <w:jc w:val="center"/>
        <w:rPr>
          <w:rFonts w:hint="eastAsia" w:ascii="宋体" w:hAnsi="宋体" w:eastAsia="宋体" w:cs="宋体"/>
          <w:b/>
          <w:bCs/>
          <w:kern w:val="0"/>
          <w:sz w:val="44"/>
          <w:szCs w:val="44"/>
          <w:highlight w:val="none"/>
        </w:rPr>
      </w:pPr>
      <w:r>
        <w:rPr>
          <w:rFonts w:hint="eastAsia" w:ascii="宋体" w:hAnsi="宋体" w:eastAsia="宋体" w:cs="宋体"/>
          <w:b/>
          <w:bCs/>
          <w:kern w:val="0"/>
          <w:sz w:val="44"/>
          <w:szCs w:val="44"/>
          <w:highlight w:val="none"/>
        </w:rPr>
        <w:t>保险</w:t>
      </w:r>
      <w:r>
        <w:rPr>
          <w:rFonts w:hint="eastAsia" w:ascii="宋体" w:hAnsi="宋体" w:eastAsia="宋体" w:cs="宋体"/>
          <w:b/>
          <w:bCs/>
          <w:kern w:val="0"/>
          <w:sz w:val="44"/>
          <w:szCs w:val="44"/>
          <w:highlight w:val="none"/>
          <w:lang w:eastAsia="zh-CN"/>
        </w:rPr>
        <w:t>公司</w:t>
      </w:r>
      <w:r>
        <w:rPr>
          <w:rFonts w:hint="eastAsia" w:ascii="宋体" w:hAnsi="宋体" w:eastAsia="宋体" w:cs="宋体"/>
          <w:b/>
          <w:bCs/>
          <w:kern w:val="0"/>
          <w:sz w:val="44"/>
          <w:szCs w:val="44"/>
          <w:highlight w:val="none"/>
        </w:rPr>
        <w:t>资产负债管理办法</w:t>
      </w:r>
    </w:p>
    <w:p>
      <w:pPr>
        <w:widowControl/>
        <w:shd w:val="clear" w:color="auto" w:fill="FEFEFE"/>
        <w:spacing w:beforeLines="0" w:afterLines="0" w:line="560" w:lineRule="exact"/>
        <w:ind w:left="-1" w:leftChars="0" w:right="120" w:firstLine="0" w:firstLineChars="0"/>
        <w:jc w:val="center"/>
        <w:rPr>
          <w:rFonts w:hint="eastAsia" w:ascii="楷体_GB2312" w:hAnsi="楷体_GB2312" w:eastAsia="楷体_GB2312" w:cs="楷体_GB2312"/>
          <w:b w:val="0"/>
          <w:bCs w:val="0"/>
          <w:kern w:val="0"/>
          <w:sz w:val="36"/>
          <w:szCs w:val="36"/>
          <w:highlight w:val="none"/>
          <w:lang w:eastAsia="zh-CN"/>
        </w:rPr>
      </w:pPr>
      <w:r>
        <w:rPr>
          <w:rFonts w:hint="eastAsia" w:ascii="楷体_GB2312" w:hAnsi="楷体_GB2312" w:eastAsia="楷体_GB2312" w:cs="楷体_GB2312"/>
          <w:b w:val="0"/>
          <w:bCs w:val="0"/>
          <w:kern w:val="0"/>
          <w:sz w:val="36"/>
          <w:szCs w:val="36"/>
          <w:highlight w:val="none"/>
          <w:lang w:eastAsia="zh-CN"/>
        </w:rPr>
        <w:t>（征求意见稿）</w:t>
      </w:r>
    </w:p>
    <w:p>
      <w:pPr>
        <w:widowControl/>
        <w:shd w:val="clear" w:color="auto" w:fill="FEFEFE"/>
        <w:spacing w:beforeLines="0" w:afterLines="0" w:line="560" w:lineRule="exact"/>
        <w:ind w:left="-1" w:leftChars="0" w:right="120" w:firstLine="0" w:firstLineChars="0"/>
        <w:jc w:val="center"/>
        <w:rPr>
          <w:rFonts w:ascii="宋体" w:hAnsi="宋体" w:eastAsia="宋体" w:cs="宋体"/>
          <w:b/>
          <w:bCs/>
          <w:kern w:val="0"/>
          <w:sz w:val="36"/>
          <w:szCs w:val="36"/>
          <w:highlight w:val="none"/>
        </w:rPr>
      </w:pPr>
    </w:p>
    <w:p>
      <w:pPr>
        <w:pStyle w:val="2"/>
        <w:numPr>
          <w:ilvl w:val="0"/>
          <w:numId w:val="5"/>
        </w:numPr>
        <w:spacing w:before="0" w:beforeLines="0" w:after="0" w:afterLines="0" w:line="560" w:lineRule="exact"/>
        <w:ind w:left="-1" w:leftChars="0" w:firstLine="0" w:firstLineChars="0"/>
        <w:jc w:val="center"/>
        <w:rPr>
          <w:rFonts w:ascii="宋体" w:hAnsi="宋体" w:eastAsia="宋体"/>
          <w:b/>
          <w:bCs/>
          <w:sz w:val="36"/>
          <w:szCs w:val="36"/>
          <w:highlight w:val="none"/>
        </w:rPr>
      </w:pPr>
      <w:r>
        <w:rPr>
          <w:rFonts w:hint="eastAsia" w:ascii="宋体" w:hAnsi="宋体" w:eastAsia="宋体"/>
          <w:b/>
          <w:bCs/>
          <w:sz w:val="36"/>
          <w:szCs w:val="36"/>
          <w:highlight w:val="none"/>
        </w:rPr>
        <w:t>总则</w:t>
      </w:r>
    </w:p>
    <w:p>
      <w:pPr>
        <w:widowControl/>
        <w:shd w:val="clear" w:color="auto" w:fill="FEFEFE"/>
        <w:snapToGrid w:val="0"/>
        <w:spacing w:beforeLines="0" w:afterLines="0" w:line="600" w:lineRule="exact"/>
        <w:ind w:left="120" w:right="120" w:firstLine="640"/>
        <w:rPr>
          <w:rFonts w:ascii="微软雅黑" w:hAnsi="微软雅黑" w:eastAsia="微软雅黑" w:cs="宋体"/>
          <w:kern w:val="0"/>
          <w:sz w:val="36"/>
          <w:szCs w:val="36"/>
          <w:highlight w:val="none"/>
        </w:rPr>
      </w:pPr>
      <w:r>
        <w:rPr>
          <w:rFonts w:ascii="Calibri" w:hAnsi="Calibri" w:eastAsia="黑体" w:cs="Calibri"/>
          <w:kern w:val="0"/>
          <w:sz w:val="36"/>
          <w:szCs w:val="36"/>
          <w:highlight w:val="none"/>
        </w:rPr>
        <w:t> </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ascii="微软雅黑" w:hAnsi="微软雅黑" w:eastAsia="微软雅黑" w:cs="宋体"/>
          <w:kern w:val="0"/>
          <w:sz w:val="36"/>
          <w:szCs w:val="36"/>
          <w:highlight w:val="none"/>
        </w:rPr>
      </w:pPr>
      <w:r>
        <w:rPr>
          <w:rFonts w:hint="eastAsia" w:ascii="微软雅黑" w:hAnsi="微软雅黑" w:eastAsia="仿宋_GB2312" w:cs="宋体"/>
          <w:kern w:val="0"/>
          <w:sz w:val="36"/>
          <w:szCs w:val="36"/>
          <w:highlight w:val="none"/>
          <w:lang w:val="en-US" w:eastAsia="zh-CN" w:bidi="ar-SA"/>
        </w:rPr>
        <w:t xml:space="preserve">第一条【立法目的】 </w:t>
      </w:r>
      <w:r>
        <w:rPr>
          <w:rFonts w:hint="eastAsia" w:ascii="仿宋_GB2312" w:hAnsi="微软雅黑" w:eastAsia="仿宋_GB2312" w:cs="宋体"/>
          <w:kern w:val="0"/>
          <w:sz w:val="36"/>
          <w:szCs w:val="36"/>
          <w:highlight w:val="none"/>
        </w:rPr>
        <w:t>为防范保险资产负债错配风险，</w:t>
      </w:r>
      <w:r>
        <w:rPr>
          <w:rFonts w:hint="eastAsia" w:ascii="仿宋_GB2312" w:hAnsi="微软雅黑" w:eastAsia="仿宋_GB2312" w:cs="宋体"/>
          <w:sz w:val="36"/>
          <w:szCs w:val="36"/>
          <w:highlight w:val="none"/>
        </w:rPr>
        <w:t>提升</w:t>
      </w:r>
      <w:r>
        <w:rPr>
          <w:rFonts w:ascii="仿宋_GB2312" w:hAnsi="微软雅黑" w:eastAsia="仿宋_GB2312" w:cs="宋体"/>
          <w:sz w:val="36"/>
          <w:szCs w:val="36"/>
          <w:highlight w:val="none"/>
        </w:rPr>
        <w:t>保险公司资产负债</w:t>
      </w:r>
      <w:r>
        <w:rPr>
          <w:rFonts w:hint="eastAsia" w:ascii="仿宋_GB2312" w:hAnsi="微软雅黑" w:eastAsia="仿宋_GB2312" w:cs="宋体"/>
          <w:sz w:val="36"/>
          <w:szCs w:val="36"/>
          <w:highlight w:val="none"/>
        </w:rPr>
        <w:t>管理能力，</w:t>
      </w:r>
      <w:r>
        <w:rPr>
          <w:rFonts w:hint="eastAsia" w:ascii="仿宋_GB2312" w:hAnsi="微软雅黑" w:eastAsia="仿宋_GB2312" w:cs="宋体"/>
          <w:sz w:val="36"/>
          <w:szCs w:val="36"/>
          <w:highlight w:val="none"/>
          <w:lang w:eastAsia="zh-CN"/>
        </w:rPr>
        <w:t>强化</w:t>
      </w:r>
      <w:r>
        <w:rPr>
          <w:rFonts w:hint="eastAsia" w:ascii="仿宋_GB2312" w:hAnsi="微软雅黑" w:eastAsia="仿宋_GB2312" w:cs="宋体"/>
          <w:kern w:val="0"/>
          <w:sz w:val="36"/>
          <w:szCs w:val="36"/>
          <w:highlight w:val="none"/>
        </w:rPr>
        <w:t>资产负债管理约束，</w:t>
      </w:r>
      <w:r>
        <w:rPr>
          <w:rFonts w:ascii="仿宋_GB2312" w:hAnsi="微软雅黑" w:eastAsia="仿宋_GB2312" w:cs="宋体"/>
          <w:kern w:val="0"/>
          <w:sz w:val="36"/>
          <w:szCs w:val="36"/>
          <w:highlight w:val="none"/>
        </w:rPr>
        <w:t>维护保险业安全稳健运行，</w:t>
      </w:r>
      <w:r>
        <w:rPr>
          <w:rFonts w:hint="eastAsia" w:ascii="仿宋_GB2312" w:hAnsi="微软雅黑" w:eastAsia="仿宋_GB2312" w:cs="宋体"/>
          <w:kern w:val="0"/>
          <w:sz w:val="36"/>
          <w:szCs w:val="36"/>
          <w:highlight w:val="none"/>
        </w:rPr>
        <w:t>根据《中华人民共和国保险法》，制定本办法。</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val="en-US" w:eastAsia="zh-CN" w:bidi="ar-SA"/>
        </w:rPr>
        <w:t xml:space="preserve">第二条【适用范围】 </w:t>
      </w:r>
      <w:r>
        <w:rPr>
          <w:rFonts w:hint="eastAsia" w:ascii="仿宋_GB2312" w:hAnsi="微软雅黑" w:eastAsia="仿宋_GB2312" w:cs="宋体"/>
          <w:kern w:val="0"/>
          <w:sz w:val="36"/>
          <w:szCs w:val="36"/>
          <w:highlight w:val="none"/>
        </w:rPr>
        <w:t>本办法所称保险公司是指中国境内依法设立的</w:t>
      </w:r>
      <w:r>
        <w:rPr>
          <w:rFonts w:hint="eastAsia" w:ascii="仿宋_GB2312" w:hAnsi="微软雅黑" w:eastAsia="仿宋_GB2312" w:cs="宋体"/>
          <w:kern w:val="0"/>
          <w:sz w:val="36"/>
          <w:szCs w:val="36"/>
          <w:highlight w:val="none"/>
          <w:lang w:eastAsia="zh-CN"/>
        </w:rPr>
        <w:t>商业保险公司，包括</w:t>
      </w:r>
      <w:r>
        <w:rPr>
          <w:rFonts w:hint="eastAsia" w:ascii="仿宋_GB2312" w:hAnsi="微软雅黑" w:eastAsia="仿宋_GB2312" w:cs="宋体"/>
          <w:kern w:val="0"/>
          <w:sz w:val="36"/>
          <w:szCs w:val="36"/>
          <w:highlight w:val="none"/>
        </w:rPr>
        <w:t>财产保险公司</w:t>
      </w:r>
      <w:r>
        <w:rPr>
          <w:rFonts w:hint="eastAsia" w:ascii="仿宋_GB2312" w:hAnsi="微软雅黑" w:eastAsia="仿宋_GB2312" w:cs="宋体"/>
          <w:kern w:val="0"/>
          <w:sz w:val="36"/>
          <w:szCs w:val="36"/>
          <w:highlight w:val="none"/>
          <w:lang w:eastAsia="zh-CN"/>
        </w:rPr>
        <w:t>和</w:t>
      </w:r>
      <w:r>
        <w:rPr>
          <w:rFonts w:hint="eastAsia" w:ascii="仿宋_GB2312" w:hAnsi="微软雅黑" w:eastAsia="仿宋_GB2312" w:cs="宋体"/>
          <w:kern w:val="0"/>
          <w:sz w:val="36"/>
          <w:szCs w:val="36"/>
          <w:highlight w:val="none"/>
        </w:rPr>
        <w:t>人身保险公司。</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hint="eastAsia" w:ascii="仿宋_GB2312" w:hAnsi="微软雅黑" w:eastAsia="仿宋_GB2312" w:cs="宋体"/>
          <w:kern w:val="0"/>
          <w:sz w:val="36"/>
          <w:szCs w:val="36"/>
          <w:highlight w:val="none"/>
          <w:lang w:eastAsia="zh-CN"/>
        </w:rPr>
      </w:pPr>
      <w:r>
        <w:rPr>
          <w:rFonts w:hint="eastAsia" w:ascii="仿宋_GB2312" w:hAnsi="微软雅黑" w:eastAsia="仿宋_GB2312" w:cs="宋体"/>
          <w:kern w:val="0"/>
          <w:sz w:val="36"/>
          <w:szCs w:val="36"/>
          <w:highlight w:val="none"/>
          <w:lang w:val="en-US" w:eastAsia="zh-CN" w:bidi="ar-SA"/>
        </w:rPr>
        <w:t xml:space="preserve">第三条【核心定义】 </w:t>
      </w:r>
      <w:r>
        <w:rPr>
          <w:rFonts w:hint="eastAsia" w:ascii="仿宋_GB2312" w:hAnsi="微软雅黑" w:eastAsia="仿宋_GB2312" w:cs="宋体"/>
          <w:kern w:val="0"/>
          <w:sz w:val="36"/>
          <w:szCs w:val="36"/>
          <w:highlight w:val="none"/>
        </w:rPr>
        <w:t>本办法所称资产负债管理，是指保险公司</w:t>
      </w:r>
      <w:r>
        <w:rPr>
          <w:rFonts w:hint="eastAsia" w:ascii="仿宋_GB2312" w:hAnsi="微软雅黑" w:eastAsia="仿宋_GB2312" w:cs="宋体"/>
          <w:kern w:val="0"/>
          <w:sz w:val="36"/>
          <w:szCs w:val="36"/>
          <w:highlight w:val="none"/>
          <w:lang w:val="en-US" w:eastAsia="zh-CN"/>
        </w:rPr>
        <w:t>根据公司发展战略、经营目标和风险偏好，</w:t>
      </w:r>
      <w:r>
        <w:rPr>
          <w:rFonts w:hint="eastAsia" w:ascii="仿宋_GB2312" w:hAnsi="微软雅黑" w:eastAsia="仿宋_GB2312" w:cs="宋体"/>
          <w:kern w:val="0"/>
          <w:sz w:val="36"/>
          <w:szCs w:val="36"/>
          <w:highlight w:val="none"/>
          <w:lang w:eastAsia="zh-CN"/>
        </w:rPr>
        <w:t>制定、执行、评估和调整资产负债相关的政策和程序，维持资产与负债的合理匹配，降低资产负债错配风险。</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eastAsia="zh-CN"/>
        </w:rPr>
        <w:t>第四条【管理目标】</w:t>
      </w:r>
      <w:r>
        <w:rPr>
          <w:rFonts w:hint="eastAsia" w:ascii="仿宋_GB2312" w:hAnsi="微软雅黑" w:eastAsia="仿宋_GB2312" w:cs="宋体"/>
          <w:kern w:val="0"/>
          <w:sz w:val="36"/>
          <w:szCs w:val="36"/>
          <w:highlight w:val="none"/>
          <w:lang w:val="en-US" w:eastAsia="zh-CN"/>
        </w:rPr>
        <w:t xml:space="preserve"> 保险公司资产负债管理目标包括期限结构匹配、成本收益匹配、流动性匹配等。</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期限结构匹配是指保险公司能够维持资产和负债在</w:t>
      </w:r>
      <w:r>
        <w:rPr>
          <w:rFonts w:hint="eastAsia" w:ascii="仿宋_GB2312" w:hAnsi="微软雅黑" w:eastAsia="仿宋_GB2312" w:cs="宋体"/>
          <w:kern w:val="0"/>
          <w:sz w:val="36"/>
          <w:szCs w:val="36"/>
          <w:highlight w:val="none"/>
          <w:lang w:eastAsia="zh-CN"/>
        </w:rPr>
        <w:t>较长</w:t>
      </w:r>
      <w:r>
        <w:rPr>
          <w:rFonts w:hint="eastAsia" w:ascii="仿宋_GB2312" w:hAnsi="微软雅黑" w:eastAsia="仿宋_GB2312" w:cs="宋体"/>
          <w:kern w:val="0"/>
          <w:sz w:val="36"/>
          <w:szCs w:val="36"/>
          <w:highlight w:val="none"/>
        </w:rPr>
        <w:t>期限结构上的</w:t>
      </w:r>
      <w:r>
        <w:rPr>
          <w:rFonts w:hint="eastAsia" w:ascii="仿宋_GB2312" w:hAnsi="微软雅黑" w:eastAsia="仿宋_GB2312" w:cs="宋体"/>
          <w:kern w:val="0"/>
          <w:sz w:val="36"/>
          <w:szCs w:val="36"/>
          <w:highlight w:val="none"/>
          <w:lang w:eastAsia="zh-CN"/>
        </w:rPr>
        <w:t>合理</w:t>
      </w:r>
      <w:r>
        <w:rPr>
          <w:rFonts w:hint="eastAsia" w:ascii="仿宋_GB2312" w:hAnsi="微软雅黑" w:eastAsia="仿宋_GB2312" w:cs="宋体"/>
          <w:kern w:val="0"/>
          <w:sz w:val="36"/>
          <w:szCs w:val="36"/>
          <w:highlight w:val="none"/>
        </w:rPr>
        <w:t>匹配，</w:t>
      </w:r>
      <w:r>
        <w:rPr>
          <w:rFonts w:hint="eastAsia" w:ascii="仿宋_GB2312" w:hAnsi="微软雅黑" w:eastAsia="仿宋_GB2312" w:cs="宋体"/>
          <w:kern w:val="0"/>
          <w:sz w:val="36"/>
          <w:szCs w:val="36"/>
          <w:highlight w:val="none"/>
          <w:lang w:eastAsia="zh-CN"/>
        </w:rPr>
        <w:t>提升公司经济价值，防范利率风险和再投资风险。</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成本收益匹配是指保险公司的资产收益能够覆盖负债成本，具备一定的持续盈利能力，防范利差损风险。</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流动性</w:t>
      </w:r>
      <w:r>
        <w:rPr>
          <w:rFonts w:hint="eastAsia" w:ascii="仿宋_GB2312" w:hAnsi="微软雅黑" w:eastAsia="仿宋_GB2312" w:cs="宋体"/>
          <w:kern w:val="0"/>
          <w:sz w:val="36"/>
          <w:szCs w:val="36"/>
          <w:highlight w:val="none"/>
        </w:rPr>
        <w:t>匹配是指保险公司在短期内能够获得充足资金以支付到期债务或履行其他支付义务，防范流动性风险。</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val="en-US" w:eastAsia="zh-CN" w:bidi="ar-SA"/>
        </w:rPr>
        <w:t>第五条【管理原则】</w:t>
      </w:r>
      <w:r>
        <w:rPr>
          <w:rFonts w:ascii="仿宋_GB2312" w:hAnsi="微软雅黑" w:eastAsia="仿宋_GB2312" w:cs="宋体"/>
          <w:kern w:val="0"/>
          <w:sz w:val="36"/>
          <w:szCs w:val="36"/>
          <w:highlight w:val="none"/>
        </w:rPr>
        <w:t> </w:t>
      </w:r>
      <w:r>
        <w:rPr>
          <w:rFonts w:hint="eastAsia" w:ascii="仿宋_GB2312" w:hAnsi="微软雅黑" w:eastAsia="仿宋_GB2312" w:cs="宋体"/>
          <w:kern w:val="0"/>
          <w:sz w:val="36"/>
          <w:szCs w:val="36"/>
          <w:highlight w:val="none"/>
        </w:rPr>
        <w:t>保险公司应当承担资产负债管理的主体责任，建立健全资产负债管理体系，加强资产负债联动管理。保险</w:t>
      </w:r>
      <w:r>
        <w:rPr>
          <w:rFonts w:hint="eastAsia" w:ascii="仿宋_GB2312" w:hAnsi="微软雅黑" w:eastAsia="仿宋_GB2312" w:cs="宋体"/>
          <w:kern w:val="0"/>
          <w:sz w:val="36"/>
          <w:szCs w:val="36"/>
          <w:highlight w:val="none"/>
          <w:lang w:eastAsia="zh-CN"/>
        </w:rPr>
        <w:t>公司</w:t>
      </w:r>
      <w:r>
        <w:rPr>
          <w:rFonts w:hint="eastAsia" w:ascii="仿宋_GB2312" w:hAnsi="微软雅黑" w:eastAsia="仿宋_GB2312" w:cs="宋体"/>
          <w:kern w:val="0"/>
          <w:sz w:val="36"/>
          <w:szCs w:val="36"/>
          <w:highlight w:val="none"/>
        </w:rPr>
        <w:t>资产负债管理应当坚持以下原则：</w:t>
      </w:r>
    </w:p>
    <w:p>
      <w:pPr>
        <w:pStyle w:val="4"/>
        <w:widowControl/>
        <w:numPr>
          <w:ilvl w:val="0"/>
          <w:numId w:val="6"/>
        </w:numPr>
        <w:shd w:val="clear" w:color="auto" w:fill="FEFEFE"/>
        <w:adjustRightInd w:val="0"/>
        <w:snapToGrid w:val="0"/>
        <w:spacing w:beforeLines="0" w:afterLines="0" w:line="600" w:lineRule="exact"/>
        <w:ind w:right="119" w:firstLine="64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全面覆盖。资产负债管理覆盖保险公司</w:t>
      </w:r>
      <w:r>
        <w:rPr>
          <w:rFonts w:hint="eastAsia" w:ascii="仿宋_GB2312" w:hAnsi="微软雅黑" w:eastAsia="仿宋_GB2312" w:cs="宋体"/>
          <w:kern w:val="0"/>
          <w:sz w:val="36"/>
          <w:szCs w:val="36"/>
          <w:highlight w:val="none"/>
          <w:lang w:eastAsia="zh-CN"/>
        </w:rPr>
        <w:t>普通账户</w:t>
      </w:r>
      <w:r>
        <w:rPr>
          <w:rFonts w:hint="eastAsia" w:ascii="仿宋_GB2312" w:hAnsi="微软雅黑" w:eastAsia="仿宋_GB2312" w:cs="宋体"/>
          <w:kern w:val="0"/>
          <w:sz w:val="36"/>
          <w:szCs w:val="36"/>
          <w:highlight w:val="none"/>
        </w:rPr>
        <w:t>全部资产和负债，</w:t>
      </w:r>
      <w:r>
        <w:rPr>
          <w:rFonts w:hint="eastAsia" w:ascii="仿宋_GB2312" w:hAnsi="仿宋_GB2312" w:eastAsia="仿宋_GB2312" w:cs="仿宋_GB2312"/>
          <w:kern w:val="0"/>
          <w:sz w:val="36"/>
          <w:szCs w:val="36"/>
          <w:highlight w:val="none"/>
        </w:rPr>
        <w:t>将资产和负债作为一个整体管理，同时兼顾不同类别</w:t>
      </w:r>
      <w:r>
        <w:rPr>
          <w:rFonts w:hint="eastAsia" w:ascii="仿宋_GB2312" w:hAnsi="仿宋_GB2312" w:eastAsia="仿宋_GB2312" w:cs="仿宋_GB2312"/>
          <w:kern w:val="0"/>
          <w:sz w:val="36"/>
          <w:szCs w:val="36"/>
          <w:highlight w:val="none"/>
          <w:lang w:eastAsia="zh-CN"/>
        </w:rPr>
        <w:t>的</w:t>
      </w:r>
      <w:r>
        <w:rPr>
          <w:rFonts w:hint="eastAsia" w:ascii="仿宋_GB2312" w:hAnsi="仿宋_GB2312" w:eastAsia="仿宋_GB2312" w:cs="仿宋_GB2312"/>
          <w:kern w:val="0"/>
          <w:sz w:val="36"/>
          <w:szCs w:val="36"/>
          <w:highlight w:val="none"/>
        </w:rPr>
        <w:t>负债</w:t>
      </w:r>
      <w:r>
        <w:rPr>
          <w:rFonts w:hint="eastAsia" w:ascii="仿宋_GB2312" w:hAnsi="仿宋_GB2312" w:eastAsia="仿宋_GB2312" w:cs="仿宋_GB2312"/>
          <w:kern w:val="0"/>
          <w:sz w:val="36"/>
          <w:szCs w:val="36"/>
          <w:highlight w:val="none"/>
          <w:lang w:eastAsia="zh-CN"/>
        </w:rPr>
        <w:t>特征</w:t>
      </w:r>
      <w:r>
        <w:rPr>
          <w:rFonts w:hint="eastAsia" w:ascii="仿宋_GB2312" w:hAnsi="仿宋_GB2312" w:eastAsia="仿宋_GB2312" w:cs="仿宋_GB2312"/>
          <w:kern w:val="0"/>
          <w:sz w:val="36"/>
          <w:szCs w:val="36"/>
          <w:highlight w:val="none"/>
        </w:rPr>
        <w:t>，采取差异化</w:t>
      </w:r>
      <w:r>
        <w:rPr>
          <w:rFonts w:hint="eastAsia" w:ascii="仿宋_GB2312" w:hAnsi="仿宋_GB2312" w:eastAsia="仿宋_GB2312" w:cs="仿宋_GB2312"/>
          <w:kern w:val="0"/>
          <w:sz w:val="36"/>
          <w:szCs w:val="36"/>
          <w:highlight w:val="none"/>
          <w:lang w:eastAsia="zh-CN"/>
        </w:rPr>
        <w:t>的</w:t>
      </w:r>
      <w:r>
        <w:rPr>
          <w:rFonts w:hint="eastAsia" w:ascii="仿宋_GB2312" w:hAnsi="仿宋_GB2312" w:eastAsia="仿宋_GB2312" w:cs="仿宋_GB2312"/>
          <w:kern w:val="0"/>
          <w:sz w:val="36"/>
          <w:szCs w:val="36"/>
          <w:highlight w:val="none"/>
        </w:rPr>
        <w:t>资产配置</w:t>
      </w:r>
      <w:r>
        <w:rPr>
          <w:rFonts w:hint="eastAsia" w:ascii="仿宋_GB2312" w:hAnsi="仿宋_GB2312" w:eastAsia="仿宋_GB2312" w:cs="仿宋_GB2312"/>
          <w:kern w:val="0"/>
          <w:sz w:val="36"/>
          <w:szCs w:val="36"/>
          <w:highlight w:val="none"/>
          <w:lang w:eastAsia="zh-CN"/>
        </w:rPr>
        <w:t>政策</w:t>
      </w:r>
      <w:r>
        <w:rPr>
          <w:rFonts w:hint="eastAsia" w:ascii="仿宋_GB2312" w:hAnsi="仿宋_GB2312" w:eastAsia="仿宋_GB2312" w:cs="仿宋_GB2312"/>
          <w:kern w:val="0"/>
          <w:sz w:val="36"/>
          <w:szCs w:val="36"/>
          <w:highlight w:val="none"/>
        </w:rPr>
        <w:t>。</w:t>
      </w:r>
    </w:p>
    <w:p>
      <w:pPr>
        <w:pStyle w:val="4"/>
        <w:widowControl/>
        <w:numPr>
          <w:ilvl w:val="0"/>
          <w:numId w:val="6"/>
        </w:numPr>
        <w:shd w:val="clear" w:color="auto" w:fill="FEFEFE"/>
        <w:adjustRightInd w:val="0"/>
        <w:snapToGrid w:val="0"/>
        <w:spacing w:beforeLines="0" w:afterLines="0" w:line="600" w:lineRule="exact"/>
        <w:ind w:right="119" w:firstLine="64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合理匹配。资产负债</w:t>
      </w:r>
      <w:r>
        <w:rPr>
          <w:rFonts w:hint="eastAsia" w:ascii="仿宋_GB2312" w:hAnsi="微软雅黑" w:eastAsia="仿宋_GB2312" w:cs="宋体"/>
          <w:kern w:val="0"/>
          <w:sz w:val="36"/>
          <w:szCs w:val="36"/>
          <w:highlight w:val="none"/>
          <w:lang w:eastAsia="zh-CN"/>
        </w:rPr>
        <w:t>匹配</w:t>
      </w:r>
      <w:r>
        <w:rPr>
          <w:rFonts w:hint="eastAsia" w:ascii="仿宋_GB2312" w:hAnsi="微软雅黑" w:eastAsia="仿宋_GB2312" w:cs="宋体"/>
          <w:kern w:val="0"/>
          <w:sz w:val="36"/>
          <w:szCs w:val="36"/>
          <w:highlight w:val="none"/>
        </w:rPr>
        <w:t>是与公司</w:t>
      </w:r>
      <w:r>
        <w:rPr>
          <w:rFonts w:hint="eastAsia" w:ascii="仿宋_GB2312" w:hAnsi="微软雅黑" w:eastAsia="仿宋_GB2312" w:cs="宋体"/>
          <w:kern w:val="0"/>
          <w:sz w:val="36"/>
          <w:szCs w:val="36"/>
          <w:highlight w:val="none"/>
          <w:lang w:eastAsia="zh-CN"/>
        </w:rPr>
        <w:t>发展战略</w:t>
      </w:r>
      <w:r>
        <w:rPr>
          <w:rFonts w:hint="eastAsia" w:ascii="仿宋_GB2312" w:hAnsi="微软雅黑" w:eastAsia="仿宋_GB2312" w:cs="宋体"/>
          <w:kern w:val="0"/>
          <w:sz w:val="36"/>
          <w:szCs w:val="36"/>
          <w:highlight w:val="none"/>
        </w:rPr>
        <w:t>、风险偏好、资本实力</w:t>
      </w:r>
      <w:r>
        <w:rPr>
          <w:rFonts w:hint="eastAsia" w:ascii="仿宋_GB2312" w:hAnsi="微软雅黑" w:eastAsia="仿宋_GB2312" w:cs="宋体"/>
          <w:kern w:val="0"/>
          <w:sz w:val="36"/>
          <w:szCs w:val="36"/>
          <w:highlight w:val="none"/>
          <w:lang w:eastAsia="zh-CN"/>
        </w:rPr>
        <w:t>和</w:t>
      </w:r>
      <w:r>
        <w:rPr>
          <w:rFonts w:hint="eastAsia" w:ascii="仿宋_GB2312" w:hAnsi="微软雅黑" w:eastAsia="仿宋_GB2312" w:cs="宋体"/>
          <w:kern w:val="0"/>
          <w:sz w:val="36"/>
          <w:szCs w:val="36"/>
          <w:highlight w:val="none"/>
        </w:rPr>
        <w:t>管理能力相适应的匹配。保险公司应当能够有效管理</w:t>
      </w:r>
      <w:r>
        <w:rPr>
          <w:rFonts w:hint="eastAsia" w:ascii="仿宋_GB2312" w:hAnsi="微软雅黑" w:eastAsia="仿宋_GB2312" w:cs="宋体"/>
          <w:kern w:val="0"/>
          <w:sz w:val="36"/>
          <w:szCs w:val="36"/>
          <w:highlight w:val="none"/>
          <w:lang w:eastAsia="zh-CN"/>
        </w:rPr>
        <w:t>资产负债</w:t>
      </w:r>
      <w:r>
        <w:rPr>
          <w:rFonts w:hint="eastAsia" w:ascii="仿宋_GB2312" w:hAnsi="微软雅黑" w:eastAsia="仿宋_GB2312" w:cs="宋体"/>
          <w:kern w:val="0"/>
          <w:sz w:val="36"/>
          <w:szCs w:val="36"/>
          <w:highlight w:val="none"/>
        </w:rPr>
        <w:t>错配风险，将错配程度维持在合理范围之内。</w:t>
      </w:r>
    </w:p>
    <w:p>
      <w:pPr>
        <w:pStyle w:val="4"/>
        <w:widowControl/>
        <w:numPr>
          <w:ilvl w:val="0"/>
          <w:numId w:val="6"/>
        </w:numPr>
        <w:shd w:val="clear" w:color="auto" w:fill="FEFEFE"/>
        <w:adjustRightInd w:val="0"/>
        <w:snapToGrid w:val="0"/>
        <w:spacing w:beforeLines="0" w:afterLines="0" w:line="600" w:lineRule="exact"/>
        <w:ind w:right="119" w:firstLine="64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稳健审慎。</w:t>
      </w:r>
      <w:r>
        <w:rPr>
          <w:rFonts w:hint="eastAsia" w:ascii="仿宋_GB2312" w:hAnsi="微软雅黑" w:eastAsia="仿宋_GB2312" w:cs="宋体"/>
          <w:kern w:val="0"/>
          <w:sz w:val="36"/>
          <w:szCs w:val="36"/>
          <w:highlight w:val="none"/>
          <w:lang w:eastAsia="zh-CN"/>
        </w:rPr>
        <w:t>资产负债管理应当</w:t>
      </w:r>
      <w:r>
        <w:rPr>
          <w:rFonts w:hint="eastAsia" w:ascii="仿宋_GB2312" w:hAnsi="微软雅黑" w:eastAsia="仿宋_GB2312" w:cs="宋体"/>
          <w:kern w:val="0"/>
          <w:sz w:val="36"/>
          <w:szCs w:val="36"/>
          <w:highlight w:val="none"/>
        </w:rPr>
        <w:t>确保资产和未来收入能够覆盖</w:t>
      </w:r>
      <w:r>
        <w:rPr>
          <w:rFonts w:hint="eastAsia" w:ascii="仿宋_GB2312" w:hAnsi="仿宋_GB2312" w:eastAsia="仿宋_GB2312" w:cs="仿宋_GB2312"/>
          <w:kern w:val="0"/>
          <w:sz w:val="36"/>
          <w:szCs w:val="36"/>
          <w:highlight w:val="none"/>
        </w:rPr>
        <w:t>保险公司对投保人的义务、资本要求以及其他责任或活动</w:t>
      </w:r>
      <w:r>
        <w:rPr>
          <w:rFonts w:hint="eastAsia" w:ascii="仿宋_GB2312" w:hAnsi="微软雅黑" w:eastAsia="仿宋_GB2312" w:cs="宋体"/>
          <w:kern w:val="0"/>
          <w:sz w:val="36"/>
          <w:szCs w:val="36"/>
          <w:highlight w:val="none"/>
        </w:rPr>
        <w:t>。负债端</w:t>
      </w:r>
      <w:r>
        <w:rPr>
          <w:rFonts w:hint="eastAsia" w:ascii="仿宋_GB2312" w:hAnsi="微软雅黑" w:eastAsia="仿宋_GB2312" w:cs="宋体"/>
          <w:kern w:val="0"/>
          <w:sz w:val="36"/>
          <w:szCs w:val="36"/>
          <w:highlight w:val="none"/>
          <w:lang w:eastAsia="zh-CN"/>
        </w:rPr>
        <w:t>坚持</w:t>
      </w:r>
      <w:r>
        <w:rPr>
          <w:rFonts w:hint="eastAsia" w:ascii="仿宋_GB2312" w:hAnsi="微软雅黑" w:eastAsia="仿宋_GB2312" w:cs="宋体"/>
          <w:kern w:val="0"/>
          <w:sz w:val="36"/>
          <w:szCs w:val="36"/>
          <w:highlight w:val="none"/>
        </w:rPr>
        <w:t>长期稳健经营</w:t>
      </w:r>
      <w:r>
        <w:rPr>
          <w:rFonts w:hint="eastAsia" w:ascii="仿宋_GB2312" w:hAnsi="微软雅黑" w:eastAsia="仿宋_GB2312" w:cs="宋体"/>
          <w:kern w:val="0"/>
          <w:sz w:val="36"/>
          <w:szCs w:val="36"/>
          <w:highlight w:val="none"/>
          <w:lang w:eastAsia="zh-CN"/>
        </w:rPr>
        <w:t>理念，</w:t>
      </w:r>
      <w:r>
        <w:rPr>
          <w:rFonts w:hint="eastAsia" w:ascii="仿宋_GB2312" w:hAnsi="微软雅黑" w:eastAsia="仿宋_GB2312" w:cs="宋体"/>
          <w:kern w:val="0"/>
          <w:sz w:val="36"/>
          <w:szCs w:val="36"/>
          <w:highlight w:val="none"/>
        </w:rPr>
        <w:t>优化负债结构，提升业务核心竞争力。资产端坚持长期稳健价值投资理念，遵循安全性、收益性、流动性原则</w:t>
      </w:r>
      <w:r>
        <w:rPr>
          <w:rFonts w:hint="eastAsia" w:ascii="仿宋_GB2312" w:hAnsi="微软雅黑" w:eastAsia="仿宋_GB2312" w:cs="宋体"/>
          <w:kern w:val="0"/>
          <w:sz w:val="36"/>
          <w:szCs w:val="36"/>
          <w:highlight w:val="none"/>
          <w:lang w:eastAsia="zh-CN"/>
        </w:rPr>
        <w:t>。</w:t>
      </w:r>
    </w:p>
    <w:p>
      <w:pPr>
        <w:pStyle w:val="4"/>
        <w:widowControl/>
        <w:numPr>
          <w:ilvl w:val="0"/>
          <w:numId w:val="6"/>
        </w:numPr>
        <w:shd w:val="clear" w:color="auto" w:fill="FEFEFE"/>
        <w:adjustRightInd w:val="0"/>
        <w:snapToGrid w:val="0"/>
        <w:spacing w:beforeLines="0" w:afterLines="0" w:line="600" w:lineRule="exact"/>
        <w:ind w:right="119" w:firstLine="64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统筹协调。资产负债管理应当统筹经济价值、盈利能力、流动性和偿付能力要求等多维目标，</w:t>
      </w:r>
      <w:r>
        <w:rPr>
          <w:rFonts w:hint="eastAsia" w:ascii="仿宋_GB2312" w:hAnsi="仿宋_GB2312" w:eastAsia="仿宋_GB2312" w:cs="仿宋_GB2312"/>
          <w:kern w:val="0"/>
          <w:sz w:val="36"/>
          <w:szCs w:val="36"/>
          <w:highlight w:val="none"/>
        </w:rPr>
        <w:t>反映资产和负债之间的相互影响，并考虑不同资产类别之间的相关性，以及产品和业务种类之间的相关性。</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val="en-US" w:eastAsia="zh-CN" w:bidi="ar-SA"/>
        </w:rPr>
        <w:t xml:space="preserve">第六条【监管机构】 </w:t>
      </w:r>
      <w:r>
        <w:rPr>
          <w:rFonts w:hint="eastAsia" w:ascii="仿宋_GB2312" w:hAnsi="微软雅黑" w:eastAsia="仿宋_GB2312" w:cs="宋体"/>
          <w:kern w:val="0"/>
          <w:sz w:val="36"/>
          <w:szCs w:val="36"/>
          <w:highlight w:val="none"/>
        </w:rPr>
        <w:t>国家金融监督管理总局及其派出机构依法对保险公司资产负债管理活动进行监督管理。</w:t>
      </w:r>
    </w:p>
    <w:p>
      <w:pPr>
        <w:widowControl/>
        <w:shd w:val="clear" w:color="auto" w:fill="FEFEFE"/>
        <w:snapToGrid w:val="0"/>
        <w:spacing w:beforeLines="0" w:afterLines="0" w:line="600" w:lineRule="exact"/>
        <w:ind w:left="120" w:right="120"/>
        <w:rPr>
          <w:rFonts w:ascii="微软雅黑" w:hAnsi="微软雅黑" w:eastAsia="微软雅黑" w:cs="宋体"/>
          <w:kern w:val="0"/>
          <w:sz w:val="36"/>
          <w:szCs w:val="36"/>
          <w:highlight w:val="none"/>
        </w:rPr>
      </w:pPr>
      <w:r>
        <w:rPr>
          <w:rFonts w:hint="eastAsia" w:ascii="宋体" w:hAnsi="宋体" w:eastAsia="宋体" w:cs="宋体"/>
          <w:b/>
          <w:bCs/>
          <w:kern w:val="0"/>
          <w:sz w:val="36"/>
          <w:szCs w:val="36"/>
          <w:highlight w:val="none"/>
        </w:rPr>
        <w:t> </w:t>
      </w:r>
    </w:p>
    <w:p>
      <w:pPr>
        <w:pStyle w:val="2"/>
        <w:numPr>
          <w:ilvl w:val="0"/>
          <w:numId w:val="5"/>
        </w:numPr>
        <w:snapToGrid w:val="0"/>
        <w:spacing w:before="0" w:beforeLines="0" w:after="0" w:afterLines="0" w:line="600" w:lineRule="exact"/>
        <w:ind w:left="-1" w:leftChars="0" w:firstLine="0" w:firstLineChars="0"/>
        <w:jc w:val="center"/>
        <w:rPr>
          <w:rFonts w:ascii="宋体" w:hAnsi="宋体" w:eastAsia="宋体"/>
          <w:b/>
          <w:bCs/>
          <w:sz w:val="36"/>
          <w:szCs w:val="36"/>
          <w:highlight w:val="none"/>
        </w:rPr>
      </w:pPr>
      <w:r>
        <w:rPr>
          <w:rFonts w:hint="eastAsia" w:ascii="宋体" w:hAnsi="宋体" w:eastAsia="宋体"/>
          <w:b/>
          <w:bCs/>
          <w:sz w:val="36"/>
          <w:szCs w:val="36"/>
          <w:highlight w:val="none"/>
        </w:rPr>
        <w:t>资产负债管理</w:t>
      </w:r>
    </w:p>
    <w:p>
      <w:pPr>
        <w:widowControl/>
        <w:shd w:val="clear" w:color="auto" w:fill="FEFEFE"/>
        <w:snapToGrid w:val="0"/>
        <w:spacing w:beforeLines="0" w:afterLines="0" w:line="600" w:lineRule="exact"/>
        <w:ind w:left="640" w:right="120" w:firstLine="640"/>
        <w:rPr>
          <w:rFonts w:ascii="微软雅黑" w:hAnsi="微软雅黑" w:eastAsia="微软雅黑" w:cs="宋体"/>
          <w:kern w:val="0"/>
          <w:sz w:val="36"/>
          <w:szCs w:val="36"/>
          <w:highlight w:val="none"/>
        </w:rPr>
      </w:pPr>
    </w:p>
    <w:p>
      <w:pPr>
        <w:pStyle w:val="4"/>
        <w:widowControl/>
        <w:numPr>
          <w:ilvl w:val="255"/>
          <w:numId w:val="0"/>
        </w:numPr>
        <w:shd w:val="clear" w:color="auto" w:fill="FEFEFE"/>
        <w:adjustRightInd w:val="0"/>
        <w:snapToGrid w:val="0"/>
        <w:spacing w:beforeLines="0" w:afterLines="0" w:line="600" w:lineRule="exact"/>
        <w:ind w:right="119"/>
        <w:jc w:val="center"/>
        <w:rPr>
          <w:rFonts w:ascii="宋体" w:hAnsi="宋体" w:eastAsia="宋体" w:cs="宋体"/>
          <w:kern w:val="0"/>
          <w:sz w:val="36"/>
          <w:szCs w:val="36"/>
          <w:highlight w:val="none"/>
        </w:rPr>
      </w:pPr>
      <w:r>
        <w:rPr>
          <w:rFonts w:hint="eastAsia" w:ascii="宋体" w:hAnsi="宋体" w:eastAsia="宋体" w:cs="宋体"/>
          <w:kern w:val="0"/>
          <w:sz w:val="36"/>
          <w:szCs w:val="36"/>
          <w:highlight w:val="none"/>
        </w:rPr>
        <w:t xml:space="preserve">第一节 </w:t>
      </w:r>
      <w:r>
        <w:rPr>
          <w:rFonts w:hint="eastAsia" w:ascii="宋体" w:hAnsi="宋体" w:eastAsia="宋体"/>
          <w:b w:val="0"/>
          <w:bCs/>
          <w:sz w:val="36"/>
          <w:szCs w:val="36"/>
          <w:highlight w:val="none"/>
        </w:rPr>
        <w:t>资产负债管理</w:t>
      </w:r>
      <w:r>
        <w:rPr>
          <w:rFonts w:hint="eastAsia" w:ascii="宋体" w:hAnsi="宋体" w:eastAsia="宋体" w:cs="宋体"/>
          <w:kern w:val="0"/>
          <w:sz w:val="36"/>
          <w:szCs w:val="36"/>
          <w:highlight w:val="none"/>
        </w:rPr>
        <w:t>治理结构</w:t>
      </w:r>
    </w:p>
    <w:p>
      <w:pPr>
        <w:widowControl/>
        <w:shd w:val="clear" w:color="auto" w:fill="FEFEFE"/>
        <w:snapToGrid w:val="0"/>
        <w:spacing w:beforeLines="0" w:afterLines="0" w:line="600" w:lineRule="exact"/>
        <w:ind w:left="640" w:right="120" w:firstLine="640"/>
        <w:rPr>
          <w:rFonts w:ascii="微软雅黑" w:hAnsi="微软雅黑" w:eastAsia="微软雅黑" w:cs="宋体"/>
          <w:kern w:val="0"/>
          <w:sz w:val="36"/>
          <w:szCs w:val="36"/>
          <w:highlight w:val="none"/>
        </w:rPr>
      </w:pP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bidi="ar-SA"/>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七</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【组织架构】</w:t>
      </w:r>
      <w:r>
        <w:rPr>
          <w:rFonts w:hint="eastAsia" w:ascii="仿宋_GB2312" w:hAnsi="微软雅黑" w:eastAsia="仿宋_GB2312" w:cs="宋体"/>
          <w:kern w:val="0"/>
          <w:sz w:val="36"/>
          <w:szCs w:val="36"/>
          <w:highlight w:val="none"/>
        </w:rPr>
        <w:t xml:space="preserve"> 保险公司应当</w:t>
      </w:r>
      <w:r>
        <w:rPr>
          <w:rFonts w:hint="eastAsia" w:ascii="仿宋_GB2312" w:hAnsi="微软雅黑" w:eastAsia="仿宋_GB2312" w:cs="宋体"/>
          <w:kern w:val="0"/>
          <w:sz w:val="36"/>
          <w:szCs w:val="36"/>
          <w:highlight w:val="none"/>
          <w:lang w:val="en-US" w:eastAsia="zh-CN"/>
        </w:rPr>
        <w:t>明确规定董事会和高级管理层的资产负债管理职责，</w:t>
      </w:r>
      <w:r>
        <w:rPr>
          <w:rFonts w:hint="eastAsia" w:ascii="仿宋_GB2312" w:hAnsi="微软雅黑" w:eastAsia="仿宋_GB2312" w:cs="宋体"/>
          <w:kern w:val="0"/>
          <w:sz w:val="36"/>
          <w:szCs w:val="36"/>
          <w:highlight w:val="none"/>
          <w:lang w:val="en-US" w:eastAsia="zh-CN" w:bidi="ar-SA"/>
        </w:rPr>
        <w:t>建立由董事会负最终责任、高级管理层直接领导、资产负债管理部门统筹协调、职能部门相互协作、内部审计部门检查监督的分工明确、报告路线清晰、高效执行的资产负债管理组织体系。</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bidi="ar-SA"/>
        </w:rPr>
      </w:pPr>
      <w:r>
        <w:rPr>
          <w:rFonts w:hint="eastAsia" w:ascii="仿宋_GB2312" w:hAnsi="微软雅黑" w:eastAsia="仿宋_GB2312" w:cs="宋体"/>
          <w:kern w:val="0"/>
          <w:sz w:val="36"/>
          <w:szCs w:val="36"/>
          <w:highlight w:val="none"/>
          <w:lang w:val="en-US" w:eastAsia="zh-CN" w:bidi="ar-SA"/>
        </w:rPr>
        <w:t>保险集团（控股）公司应当</w:t>
      </w:r>
      <w:r>
        <w:rPr>
          <w:rFonts w:hint="eastAsia" w:ascii="仿宋_GB2312" w:hAnsi="仿宋" w:eastAsia="仿宋_GB2312" w:cs="仿宋"/>
          <w:b w:val="0"/>
          <w:bCs/>
          <w:color w:val="auto"/>
          <w:sz w:val="36"/>
          <w:szCs w:val="36"/>
          <w:highlight w:val="none"/>
        </w:rPr>
        <w:t>充分考虑集团整体层面资产与负债的匹配性</w:t>
      </w:r>
      <w:r>
        <w:rPr>
          <w:rFonts w:hint="eastAsia" w:ascii="仿宋_GB2312" w:hAnsi="仿宋" w:eastAsia="仿宋_GB2312" w:cs="仿宋"/>
          <w:b w:val="0"/>
          <w:bCs/>
          <w:color w:val="auto"/>
          <w:sz w:val="36"/>
          <w:szCs w:val="36"/>
          <w:highlight w:val="none"/>
          <w:lang w:eastAsia="zh-CN"/>
        </w:rPr>
        <w:t>，督促</w:t>
      </w:r>
      <w:r>
        <w:rPr>
          <w:rFonts w:hint="eastAsia" w:ascii="仿宋_GB2312" w:hAnsi="微软雅黑" w:eastAsia="仿宋_GB2312" w:cs="宋体"/>
          <w:kern w:val="0"/>
          <w:sz w:val="36"/>
          <w:szCs w:val="36"/>
          <w:highlight w:val="none"/>
          <w:lang w:val="en-US" w:eastAsia="zh-CN" w:bidi="ar-SA"/>
        </w:rPr>
        <w:t>集团内保险公司与保险资产管理公司</w:t>
      </w:r>
      <w:r>
        <w:rPr>
          <w:rFonts w:hint="eastAsia" w:ascii="仿宋_GB2312" w:hAnsi="仿宋" w:eastAsia="仿宋_GB2312" w:cs="仿宋"/>
          <w:b w:val="0"/>
          <w:bCs/>
          <w:color w:val="auto"/>
          <w:sz w:val="36"/>
          <w:szCs w:val="36"/>
          <w:highlight w:val="none"/>
          <w:lang w:eastAsia="zh-CN"/>
        </w:rPr>
        <w:t>加强资产负债联动管理</w:t>
      </w:r>
      <w:r>
        <w:rPr>
          <w:rFonts w:hint="eastAsia" w:ascii="仿宋_GB2312" w:hAnsi="仿宋" w:eastAsia="仿宋_GB2312" w:cs="仿宋"/>
          <w:b w:val="0"/>
          <w:bCs/>
          <w:color w:val="auto"/>
          <w:sz w:val="36"/>
          <w:szCs w:val="36"/>
          <w:highlight w:val="none"/>
        </w:rPr>
        <w:t>，</w:t>
      </w:r>
      <w:r>
        <w:rPr>
          <w:rFonts w:hint="eastAsia" w:ascii="仿宋_GB2312" w:eastAsia="仿宋_GB2312"/>
          <w:b w:val="0"/>
          <w:bCs/>
          <w:color w:val="auto"/>
          <w:sz w:val="36"/>
          <w:szCs w:val="36"/>
          <w:highlight w:val="none"/>
        </w:rPr>
        <w:t>有效识别、计量、监测和控制</w:t>
      </w:r>
      <w:r>
        <w:rPr>
          <w:rFonts w:hint="eastAsia" w:ascii="仿宋_GB2312" w:eastAsia="仿宋_GB2312"/>
          <w:b w:val="0"/>
          <w:bCs/>
          <w:color w:val="auto"/>
          <w:sz w:val="36"/>
          <w:szCs w:val="36"/>
          <w:highlight w:val="none"/>
          <w:lang w:eastAsia="zh-CN"/>
        </w:rPr>
        <w:t>保险集团总体风险</w:t>
      </w:r>
      <w:r>
        <w:rPr>
          <w:rFonts w:hint="eastAsia" w:ascii="仿宋_GB2312" w:eastAsia="仿宋_GB2312"/>
          <w:b w:val="0"/>
          <w:bCs/>
          <w:color w:val="auto"/>
          <w:sz w:val="36"/>
          <w:szCs w:val="36"/>
          <w:highlight w:val="none"/>
        </w:rPr>
        <w:t>状况</w:t>
      </w:r>
      <w:r>
        <w:rPr>
          <w:rFonts w:hint="eastAsia" w:ascii="仿宋_GB2312" w:eastAsia="仿宋_GB2312"/>
          <w:b w:val="0"/>
          <w:bCs/>
          <w:color w:val="auto"/>
          <w:sz w:val="36"/>
          <w:szCs w:val="36"/>
          <w:highlight w:val="none"/>
          <w:lang w:eastAsia="zh-CN"/>
        </w:rPr>
        <w:t>。</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八</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【董事会】</w:t>
      </w:r>
      <w:r>
        <w:rPr>
          <w:rFonts w:hint="eastAsia" w:ascii="仿宋_GB2312" w:hAnsi="微软雅黑" w:eastAsia="仿宋_GB2312" w:cs="宋体"/>
          <w:kern w:val="0"/>
          <w:sz w:val="36"/>
          <w:szCs w:val="36"/>
          <w:highlight w:val="none"/>
        </w:rPr>
        <w:t xml:space="preserve"> 保险公司董事会应当履行以下</w:t>
      </w:r>
      <w:r>
        <w:rPr>
          <w:rFonts w:hint="eastAsia" w:ascii="仿宋_GB2312" w:hAnsi="微软雅黑" w:eastAsia="仿宋_GB2312" w:cs="宋体"/>
          <w:kern w:val="0"/>
          <w:sz w:val="36"/>
          <w:szCs w:val="36"/>
          <w:highlight w:val="none"/>
          <w:lang w:eastAsia="zh-CN"/>
        </w:rPr>
        <w:t>资产负债管理</w:t>
      </w:r>
      <w:r>
        <w:rPr>
          <w:rFonts w:hint="eastAsia" w:ascii="仿宋_GB2312" w:hAnsi="微软雅黑" w:eastAsia="仿宋_GB2312" w:cs="宋体"/>
          <w:kern w:val="0"/>
          <w:sz w:val="36"/>
          <w:szCs w:val="36"/>
          <w:highlight w:val="none"/>
        </w:rPr>
        <w:t>职责：</w:t>
      </w:r>
    </w:p>
    <w:p>
      <w:pPr>
        <w:widowControl/>
        <w:shd w:val="clear" w:color="auto" w:fill="FEFEFE"/>
        <w:snapToGrid w:val="0"/>
        <w:spacing w:beforeLines="0" w:afterLines="0" w:line="600" w:lineRule="exact"/>
        <w:ind w:firstLine="640"/>
        <w:rPr>
          <w:rFonts w:ascii="Times New Roman" w:hAnsi="Times New Roman" w:eastAsia="宋体" w:cs="Times New Roman"/>
          <w:kern w:val="0"/>
          <w:sz w:val="36"/>
          <w:szCs w:val="36"/>
          <w:highlight w:val="none"/>
        </w:rPr>
      </w:pPr>
      <w:r>
        <w:rPr>
          <w:rFonts w:hint="eastAsia" w:ascii="仿宋_GB2312" w:hAnsi="Times New Roman" w:eastAsia="仿宋_GB2312" w:cs="Times New Roman"/>
          <w:kern w:val="0"/>
          <w:sz w:val="36"/>
          <w:szCs w:val="36"/>
          <w:highlight w:val="none"/>
          <w:lang w:eastAsia="zh-CN"/>
        </w:rPr>
        <w:t>（</w:t>
      </w:r>
      <w:r>
        <w:rPr>
          <w:rFonts w:hint="eastAsia" w:ascii="仿宋_GB2312" w:hAnsi="Times New Roman" w:eastAsia="仿宋_GB2312" w:cs="Times New Roman"/>
          <w:kern w:val="0"/>
          <w:sz w:val="36"/>
          <w:szCs w:val="36"/>
          <w:highlight w:val="none"/>
        </w:rPr>
        <w:t>一</w:t>
      </w:r>
      <w:r>
        <w:rPr>
          <w:rFonts w:hint="eastAsia" w:ascii="仿宋_GB2312" w:hAnsi="Times New Roman" w:eastAsia="仿宋_GB2312" w:cs="Times New Roman"/>
          <w:kern w:val="0"/>
          <w:sz w:val="36"/>
          <w:szCs w:val="36"/>
          <w:highlight w:val="none"/>
          <w:lang w:eastAsia="zh-CN"/>
        </w:rPr>
        <w:t>）审批</w:t>
      </w:r>
      <w:r>
        <w:rPr>
          <w:rFonts w:hint="eastAsia" w:ascii="仿宋_GB2312" w:hAnsi="Times New Roman" w:eastAsia="仿宋_GB2312" w:cs="Times New Roman"/>
          <w:kern w:val="0"/>
          <w:sz w:val="36"/>
          <w:szCs w:val="36"/>
          <w:highlight w:val="none"/>
        </w:rPr>
        <w:t>资产负债管理的总体目标和战略；</w:t>
      </w:r>
    </w:p>
    <w:p>
      <w:pPr>
        <w:widowControl/>
        <w:shd w:val="clear" w:color="auto" w:fill="FEFEFE"/>
        <w:snapToGrid w:val="0"/>
        <w:spacing w:beforeLines="0" w:afterLines="0" w:line="600" w:lineRule="exact"/>
        <w:ind w:firstLine="640"/>
        <w:rPr>
          <w:rFonts w:ascii="仿宋_GB2312" w:hAnsi="Times New Roman" w:eastAsia="仿宋_GB2312" w:cs="Times New Roman"/>
          <w:kern w:val="0"/>
          <w:sz w:val="36"/>
          <w:szCs w:val="36"/>
          <w:highlight w:val="none"/>
        </w:rPr>
      </w:pPr>
      <w:r>
        <w:rPr>
          <w:rFonts w:hint="eastAsia" w:ascii="仿宋_GB2312" w:hAnsi="Times New Roman" w:eastAsia="仿宋_GB2312" w:cs="Times New Roman"/>
          <w:kern w:val="0"/>
          <w:sz w:val="36"/>
          <w:szCs w:val="36"/>
          <w:highlight w:val="none"/>
          <w:lang w:eastAsia="zh-CN"/>
        </w:rPr>
        <w:t>（</w:t>
      </w:r>
      <w:r>
        <w:rPr>
          <w:rFonts w:hint="eastAsia" w:ascii="仿宋_GB2312" w:hAnsi="Times New Roman" w:eastAsia="仿宋_GB2312" w:cs="Times New Roman"/>
          <w:kern w:val="0"/>
          <w:sz w:val="36"/>
          <w:szCs w:val="36"/>
          <w:highlight w:val="none"/>
        </w:rPr>
        <w:t>二</w:t>
      </w:r>
      <w:r>
        <w:rPr>
          <w:rFonts w:hint="eastAsia" w:ascii="仿宋_GB2312" w:hAnsi="Times New Roman" w:eastAsia="仿宋_GB2312" w:cs="Times New Roman"/>
          <w:kern w:val="0"/>
          <w:sz w:val="36"/>
          <w:szCs w:val="36"/>
          <w:highlight w:val="none"/>
          <w:lang w:eastAsia="zh-CN"/>
        </w:rPr>
        <w:t>）审批</w:t>
      </w:r>
      <w:r>
        <w:rPr>
          <w:rFonts w:hint="eastAsia" w:ascii="仿宋_GB2312" w:hAnsi="Times New Roman" w:eastAsia="仿宋_GB2312" w:cs="Times New Roman"/>
          <w:kern w:val="0"/>
          <w:sz w:val="36"/>
          <w:szCs w:val="36"/>
          <w:highlight w:val="none"/>
        </w:rPr>
        <w:t>或授权</w:t>
      </w:r>
      <w:r>
        <w:rPr>
          <w:rFonts w:hint="eastAsia" w:ascii="仿宋_GB2312" w:hAnsi="Times New Roman" w:eastAsia="仿宋_GB2312" w:cs="Times New Roman"/>
          <w:kern w:val="0"/>
          <w:sz w:val="36"/>
          <w:szCs w:val="36"/>
          <w:highlight w:val="none"/>
          <w:lang w:eastAsia="zh-CN"/>
        </w:rPr>
        <w:t>审批</w:t>
      </w:r>
      <w:r>
        <w:rPr>
          <w:rFonts w:hint="eastAsia" w:ascii="仿宋_GB2312" w:hAnsi="Times New Roman" w:eastAsia="仿宋_GB2312" w:cs="Times New Roman"/>
          <w:kern w:val="0"/>
          <w:sz w:val="36"/>
          <w:szCs w:val="36"/>
          <w:highlight w:val="none"/>
        </w:rPr>
        <w:t>资产负债管理相关制度；</w:t>
      </w:r>
    </w:p>
    <w:p>
      <w:pPr>
        <w:widowControl/>
        <w:shd w:val="clear" w:color="auto" w:fill="FEFEFE"/>
        <w:snapToGrid w:val="0"/>
        <w:spacing w:beforeLines="0" w:afterLines="0" w:line="600" w:lineRule="exact"/>
        <w:ind w:firstLine="640"/>
        <w:rPr>
          <w:rFonts w:ascii="Times New Roman" w:hAnsi="Times New Roman" w:eastAsia="宋体" w:cs="Times New Roman"/>
          <w:kern w:val="0"/>
          <w:sz w:val="36"/>
          <w:szCs w:val="36"/>
          <w:highlight w:val="none"/>
        </w:rPr>
      </w:pPr>
      <w:r>
        <w:rPr>
          <w:rFonts w:hint="eastAsia" w:ascii="仿宋_GB2312" w:hAnsi="Times New Roman" w:eastAsia="仿宋_GB2312" w:cs="Times New Roman"/>
          <w:kern w:val="0"/>
          <w:sz w:val="36"/>
          <w:szCs w:val="36"/>
          <w:highlight w:val="none"/>
          <w:lang w:eastAsia="zh-CN"/>
        </w:rPr>
        <w:t>（</w:t>
      </w:r>
      <w:r>
        <w:rPr>
          <w:rFonts w:hint="eastAsia" w:ascii="仿宋_GB2312" w:hAnsi="Times New Roman" w:eastAsia="仿宋_GB2312" w:cs="Times New Roman"/>
          <w:kern w:val="0"/>
          <w:sz w:val="36"/>
          <w:szCs w:val="36"/>
          <w:highlight w:val="none"/>
        </w:rPr>
        <w:t>三</w:t>
      </w:r>
      <w:r>
        <w:rPr>
          <w:rFonts w:hint="eastAsia" w:ascii="仿宋_GB2312" w:hAnsi="Times New Roman" w:eastAsia="仿宋_GB2312" w:cs="Times New Roman"/>
          <w:kern w:val="0"/>
          <w:sz w:val="36"/>
          <w:szCs w:val="36"/>
          <w:highlight w:val="none"/>
          <w:lang w:eastAsia="zh-CN"/>
        </w:rPr>
        <w:t>）审批</w:t>
      </w:r>
      <w:r>
        <w:rPr>
          <w:rFonts w:hint="eastAsia" w:ascii="仿宋_GB2312" w:hAnsi="Times New Roman" w:eastAsia="仿宋_GB2312" w:cs="Times New Roman"/>
          <w:kern w:val="0"/>
          <w:sz w:val="36"/>
          <w:szCs w:val="36"/>
          <w:highlight w:val="none"/>
        </w:rPr>
        <w:t>业务规划以及对公司资产负债匹配状况造成重大影响的产品；</w:t>
      </w:r>
    </w:p>
    <w:p>
      <w:pPr>
        <w:widowControl/>
        <w:shd w:val="clear" w:color="auto" w:fill="FEFEFE"/>
        <w:snapToGrid w:val="0"/>
        <w:spacing w:beforeLines="0" w:afterLines="0" w:line="600" w:lineRule="exact"/>
        <w:ind w:firstLine="640"/>
        <w:rPr>
          <w:rFonts w:ascii="仿宋_GB2312" w:hAnsi="Times New Roman" w:eastAsia="仿宋_GB2312" w:cs="Times New Roman"/>
          <w:kern w:val="0"/>
          <w:sz w:val="36"/>
          <w:szCs w:val="36"/>
          <w:highlight w:val="none"/>
        </w:rPr>
      </w:pPr>
      <w:r>
        <w:rPr>
          <w:rFonts w:hint="eastAsia" w:ascii="仿宋_GB2312" w:hAnsi="Times New Roman" w:eastAsia="仿宋_GB2312" w:cs="Times New Roman"/>
          <w:kern w:val="0"/>
          <w:sz w:val="36"/>
          <w:szCs w:val="36"/>
          <w:highlight w:val="none"/>
          <w:lang w:eastAsia="zh-CN"/>
        </w:rPr>
        <w:t>（</w:t>
      </w:r>
      <w:r>
        <w:rPr>
          <w:rFonts w:hint="eastAsia" w:ascii="仿宋_GB2312" w:hAnsi="Times New Roman" w:eastAsia="仿宋_GB2312" w:cs="Times New Roman"/>
          <w:kern w:val="0"/>
          <w:sz w:val="36"/>
          <w:szCs w:val="36"/>
          <w:highlight w:val="none"/>
        </w:rPr>
        <w:t>四</w:t>
      </w:r>
      <w:r>
        <w:rPr>
          <w:rFonts w:hint="eastAsia" w:ascii="仿宋_GB2312" w:hAnsi="Times New Roman" w:eastAsia="仿宋_GB2312" w:cs="Times New Roman"/>
          <w:kern w:val="0"/>
          <w:sz w:val="36"/>
          <w:szCs w:val="36"/>
          <w:highlight w:val="none"/>
          <w:lang w:eastAsia="zh-CN"/>
        </w:rPr>
        <w:t>）审批</w:t>
      </w:r>
      <w:r>
        <w:rPr>
          <w:rFonts w:hint="eastAsia" w:ascii="仿宋_GB2312" w:hAnsi="Times New Roman" w:eastAsia="仿宋_GB2312" w:cs="Times New Roman"/>
          <w:kern w:val="0"/>
          <w:sz w:val="36"/>
          <w:szCs w:val="36"/>
          <w:highlight w:val="none"/>
        </w:rPr>
        <w:t>资产配置政策，包括资产战略配置规划和年度资产配置计划，</w:t>
      </w:r>
      <w:r>
        <w:rPr>
          <w:rFonts w:hint="eastAsia" w:ascii="仿宋_GB2312" w:hAnsi="Times New Roman" w:eastAsia="仿宋_GB2312" w:cs="Times New Roman"/>
          <w:kern w:val="0"/>
          <w:sz w:val="36"/>
          <w:szCs w:val="36"/>
          <w:highlight w:val="none"/>
          <w:lang w:eastAsia="zh-CN"/>
        </w:rPr>
        <w:t>审批</w:t>
      </w:r>
      <w:r>
        <w:rPr>
          <w:rFonts w:hint="eastAsia" w:ascii="仿宋_GB2312" w:hAnsi="Times New Roman" w:eastAsia="仿宋_GB2312" w:cs="Times New Roman"/>
          <w:kern w:val="0"/>
          <w:sz w:val="36"/>
          <w:szCs w:val="36"/>
          <w:highlight w:val="none"/>
        </w:rPr>
        <w:t>或授权</w:t>
      </w:r>
      <w:r>
        <w:rPr>
          <w:rFonts w:hint="eastAsia" w:ascii="仿宋_GB2312" w:hAnsi="Times New Roman" w:eastAsia="仿宋_GB2312" w:cs="Times New Roman"/>
          <w:kern w:val="0"/>
          <w:sz w:val="36"/>
          <w:szCs w:val="36"/>
          <w:highlight w:val="none"/>
          <w:lang w:eastAsia="zh-CN"/>
        </w:rPr>
        <w:t>审批</w:t>
      </w:r>
      <w:r>
        <w:rPr>
          <w:rFonts w:hint="eastAsia" w:ascii="仿宋_GB2312" w:hAnsi="Times New Roman" w:eastAsia="仿宋_GB2312" w:cs="Times New Roman"/>
          <w:kern w:val="0"/>
          <w:sz w:val="36"/>
          <w:szCs w:val="36"/>
          <w:highlight w:val="none"/>
        </w:rPr>
        <w:t>资产配置政策的调整方案；</w:t>
      </w:r>
    </w:p>
    <w:p>
      <w:pPr>
        <w:widowControl/>
        <w:shd w:val="clear" w:color="auto" w:fill="FEFEFE"/>
        <w:snapToGrid w:val="0"/>
        <w:spacing w:beforeLines="0" w:afterLines="0" w:line="600" w:lineRule="exact"/>
        <w:ind w:firstLine="640"/>
        <w:rPr>
          <w:rFonts w:hint="eastAsia" w:ascii="仿宋_GB2312" w:hAnsi="宋体" w:eastAsia="仿宋_GB2312" w:cs="仿宋_GB2312"/>
          <w:kern w:val="0"/>
          <w:sz w:val="36"/>
          <w:szCs w:val="36"/>
          <w:highlight w:val="none"/>
        </w:rPr>
      </w:pPr>
      <w:r>
        <w:rPr>
          <w:rFonts w:hint="eastAsia" w:ascii="仿宋_GB2312" w:hAnsi="宋体" w:eastAsia="仿宋_GB2312" w:cs="仿宋_GB2312"/>
          <w:kern w:val="0"/>
          <w:sz w:val="36"/>
          <w:szCs w:val="36"/>
          <w:highlight w:val="none"/>
          <w:lang w:eastAsia="zh-CN"/>
        </w:rPr>
        <w:t>（</w:t>
      </w:r>
      <w:r>
        <w:rPr>
          <w:rFonts w:hint="eastAsia" w:ascii="仿宋_GB2312" w:hAnsi="宋体" w:eastAsia="仿宋_GB2312" w:cs="仿宋_GB2312"/>
          <w:kern w:val="0"/>
          <w:sz w:val="36"/>
          <w:szCs w:val="36"/>
          <w:highlight w:val="none"/>
        </w:rPr>
        <w:t>五</w:t>
      </w:r>
      <w:r>
        <w:rPr>
          <w:rFonts w:hint="eastAsia" w:ascii="仿宋_GB2312" w:hAnsi="宋体" w:eastAsia="仿宋_GB2312" w:cs="仿宋_GB2312"/>
          <w:kern w:val="0"/>
          <w:sz w:val="36"/>
          <w:szCs w:val="36"/>
          <w:highlight w:val="none"/>
          <w:lang w:eastAsia="zh-CN"/>
        </w:rPr>
        <w:t>）</w:t>
      </w:r>
      <w:r>
        <w:rPr>
          <w:rFonts w:hint="eastAsia" w:ascii="仿宋_GB2312" w:hAnsi="宋体" w:eastAsia="仿宋_GB2312" w:cs="仿宋_GB2312"/>
          <w:kern w:val="0"/>
          <w:sz w:val="36"/>
          <w:szCs w:val="36"/>
          <w:highlight w:val="none"/>
        </w:rPr>
        <w:t>关注资产负债匹配状况，了解资产负债错配风险水平、管理状况及其重大变化</w:t>
      </w:r>
      <w:r>
        <w:rPr>
          <w:rFonts w:hint="eastAsia" w:ascii="仿宋_GB2312" w:hAnsi="宋体" w:eastAsia="仿宋_GB2312" w:cs="仿宋_GB2312"/>
          <w:kern w:val="0"/>
          <w:sz w:val="36"/>
          <w:szCs w:val="36"/>
          <w:highlight w:val="none"/>
          <w:lang w:eastAsia="zh-CN"/>
        </w:rPr>
        <w:t>，审批年度资产负债管理报告</w:t>
      </w:r>
      <w:r>
        <w:rPr>
          <w:rFonts w:hint="eastAsia" w:ascii="仿宋_GB2312" w:hAnsi="宋体" w:eastAsia="仿宋_GB2312" w:cs="仿宋_GB2312"/>
          <w:kern w:val="0"/>
          <w:sz w:val="36"/>
          <w:szCs w:val="36"/>
          <w:highlight w:val="none"/>
        </w:rPr>
        <w:t>；</w:t>
      </w:r>
    </w:p>
    <w:p>
      <w:pPr>
        <w:widowControl/>
        <w:shd w:val="clear" w:color="auto" w:fill="FEFEFE"/>
        <w:snapToGrid w:val="0"/>
        <w:spacing w:beforeLines="0" w:afterLines="0" w:line="600" w:lineRule="exact"/>
        <w:ind w:firstLine="640"/>
        <w:rPr>
          <w:rFonts w:hint="eastAsia" w:ascii="仿宋_GB2312" w:hAnsi="微软雅黑" w:eastAsia="仿宋_GB2312" w:cs="宋体"/>
          <w:kern w:val="0"/>
          <w:sz w:val="36"/>
          <w:szCs w:val="36"/>
          <w:highlight w:val="none"/>
          <w:lang w:eastAsia="zh-CN"/>
        </w:rPr>
      </w:pPr>
      <w:r>
        <w:rPr>
          <w:rFonts w:hint="eastAsia" w:ascii="仿宋_GB2312" w:hAnsi="微软雅黑" w:eastAsia="仿宋_GB2312" w:cs="宋体"/>
          <w:kern w:val="0"/>
          <w:sz w:val="36"/>
          <w:szCs w:val="36"/>
          <w:highlight w:val="none"/>
          <w:lang w:eastAsia="zh-CN"/>
        </w:rPr>
        <w:t>（六）审批资产负债管理绩效评估体系；</w:t>
      </w:r>
    </w:p>
    <w:p>
      <w:pPr>
        <w:shd w:val="clear" w:color="auto" w:fill="FEFEFE"/>
        <w:snapToGrid w:val="0"/>
        <w:spacing w:beforeLines="0" w:afterLines="0" w:line="600" w:lineRule="exact"/>
        <w:ind w:firstLine="640"/>
        <w:rPr>
          <w:rFonts w:hint="eastAsia" w:ascii="仿宋_GB2312" w:hAnsi="Times New Roman" w:eastAsia="仿宋_GB2312" w:cs="Times New Roman"/>
          <w:kern w:val="0"/>
          <w:sz w:val="36"/>
          <w:szCs w:val="36"/>
          <w:highlight w:val="none"/>
        </w:rPr>
      </w:pPr>
      <w:r>
        <w:rPr>
          <w:rFonts w:hint="eastAsia" w:ascii="仿宋_GB2312" w:hAnsi="Times New Roman" w:eastAsia="仿宋_GB2312" w:cs="Times New Roman"/>
          <w:kern w:val="0"/>
          <w:sz w:val="36"/>
          <w:szCs w:val="36"/>
          <w:highlight w:val="none"/>
          <w:lang w:eastAsia="zh-CN"/>
        </w:rPr>
        <w:t>（七）</w:t>
      </w:r>
      <w:r>
        <w:rPr>
          <w:rFonts w:hint="eastAsia" w:ascii="仿宋_GB2312" w:hAnsi="Times New Roman" w:eastAsia="仿宋_GB2312" w:cs="Times New Roman"/>
          <w:kern w:val="0"/>
          <w:sz w:val="36"/>
          <w:szCs w:val="36"/>
          <w:highlight w:val="none"/>
        </w:rPr>
        <w:t>其他相关职责。</w:t>
      </w:r>
    </w:p>
    <w:p>
      <w:pPr>
        <w:shd w:val="clear" w:color="auto" w:fill="FEFEFE"/>
        <w:snapToGrid w:val="0"/>
        <w:spacing w:beforeLines="0" w:afterLines="0" w:line="600" w:lineRule="exact"/>
        <w:ind w:firstLine="640"/>
        <w:rPr>
          <w:rFonts w:hint="eastAsia" w:ascii="仿宋_GB2312" w:hAnsi="Times New Roman" w:eastAsia="仿宋_GB2312" w:cs="Times New Roman"/>
          <w:kern w:val="0"/>
          <w:sz w:val="36"/>
          <w:szCs w:val="36"/>
          <w:highlight w:val="none"/>
        </w:rPr>
      </w:pPr>
      <w:r>
        <w:rPr>
          <w:rFonts w:hint="eastAsia" w:ascii="仿宋_GB2312" w:hAnsi="Times New Roman" w:eastAsia="仿宋_GB2312" w:cs="Times New Roman"/>
          <w:kern w:val="0"/>
          <w:sz w:val="36"/>
          <w:szCs w:val="36"/>
          <w:highlight w:val="none"/>
          <w:lang w:eastAsia="zh-CN"/>
        </w:rPr>
        <w:t>董事会应当</w:t>
      </w:r>
      <w:r>
        <w:rPr>
          <w:rFonts w:hint="eastAsia" w:ascii="仿宋_GB2312" w:hAnsi="微软雅黑" w:eastAsia="仿宋_GB2312" w:cs="宋体"/>
          <w:kern w:val="0"/>
          <w:sz w:val="36"/>
          <w:szCs w:val="36"/>
          <w:highlight w:val="none"/>
        </w:rPr>
        <w:t>设立资产负债管理委员会</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或具有相应职能的委员会</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资产负债管理委员会</w:t>
      </w:r>
      <w:r>
        <w:rPr>
          <w:rFonts w:hint="eastAsia" w:ascii="仿宋_GB2312" w:hAnsi="微软雅黑" w:eastAsia="仿宋_GB2312" w:cs="宋体"/>
          <w:kern w:val="0"/>
          <w:sz w:val="36"/>
          <w:szCs w:val="36"/>
          <w:highlight w:val="none"/>
          <w:lang w:eastAsia="zh-CN"/>
        </w:rPr>
        <w:t>负责审议或根据授权审批资产负债管理相关议案，每季度听取资产负债管理情况汇报。</w:t>
      </w:r>
      <w:r>
        <w:rPr>
          <w:rFonts w:hint="eastAsia" w:ascii="仿宋_GB2312" w:hAnsi="微软雅黑" w:eastAsia="仿宋_GB2312" w:cs="宋体"/>
          <w:kern w:val="0"/>
          <w:sz w:val="36"/>
          <w:szCs w:val="36"/>
          <w:highlight w:val="none"/>
        </w:rPr>
        <w:t>资产负债管理委员会应当至少包含三名董事，主任应当由董事长或拥有资产负债管理相关经验的董事担任，</w:t>
      </w:r>
      <w:r>
        <w:rPr>
          <w:rFonts w:hint="eastAsia" w:ascii="仿宋_GB2312" w:hAnsi="微软雅黑" w:eastAsia="仿宋_GB2312" w:cs="宋体"/>
          <w:kern w:val="0"/>
          <w:sz w:val="36"/>
          <w:szCs w:val="36"/>
          <w:highlight w:val="none"/>
          <w:lang w:bidi="ar"/>
        </w:rPr>
        <w:t>成员应当具备履行资产负债管理职责所需要的专业知识、经验和能力。</w:t>
      </w:r>
    </w:p>
    <w:p>
      <w:pPr>
        <w:pStyle w:val="4"/>
        <w:widowControl/>
        <w:shd w:val="clear" w:color="auto" w:fill="FEFEFE"/>
        <w:adjustRightInd w:val="0"/>
        <w:snapToGrid w:val="0"/>
        <w:spacing w:beforeLines="0" w:afterLines="0" w:line="600" w:lineRule="exact"/>
        <w:ind w:right="119" w:firstLine="641" w:firstLineChars="0"/>
        <w:jc w:val="both"/>
        <w:rPr>
          <w:rFonts w:hint="eastAsia" w:ascii="仿宋_GB2312" w:hAnsi="微软雅黑" w:eastAsia="仿宋_GB2312" w:cs="宋体"/>
          <w:kern w:val="0"/>
          <w:sz w:val="36"/>
          <w:szCs w:val="36"/>
          <w:highlight w:val="none"/>
          <w:lang w:eastAsia="zh-CN"/>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九</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【高级管理层】</w:t>
      </w:r>
      <w:r>
        <w:rPr>
          <w:rFonts w:hint="eastAsia" w:ascii="仿宋_GB2312" w:hAnsi="微软雅黑" w:eastAsia="仿宋_GB2312" w:cs="宋体"/>
          <w:kern w:val="0"/>
          <w:sz w:val="36"/>
          <w:szCs w:val="36"/>
          <w:highlight w:val="none"/>
        </w:rPr>
        <w:t xml:space="preserve"> 保险公司</w:t>
      </w:r>
      <w:r>
        <w:rPr>
          <w:rFonts w:hint="eastAsia" w:ascii="仿宋_GB2312" w:hAnsi="微软雅黑" w:eastAsia="仿宋_GB2312" w:cs="宋体"/>
          <w:kern w:val="0"/>
          <w:sz w:val="36"/>
          <w:szCs w:val="36"/>
          <w:highlight w:val="none"/>
          <w:lang w:eastAsia="zh-CN"/>
        </w:rPr>
        <w:t>高级管理层根据董事会授权，</w:t>
      </w:r>
      <w:r>
        <w:rPr>
          <w:rFonts w:hint="eastAsia" w:ascii="仿宋_GB2312" w:hAnsi="微软雅黑" w:eastAsia="仿宋_GB2312" w:cs="宋体"/>
          <w:kern w:val="0"/>
          <w:sz w:val="36"/>
          <w:szCs w:val="36"/>
          <w:highlight w:val="none"/>
        </w:rPr>
        <w:t>应当履行以下</w:t>
      </w:r>
      <w:r>
        <w:rPr>
          <w:rFonts w:hint="eastAsia" w:ascii="仿宋_GB2312" w:hAnsi="微软雅黑" w:eastAsia="仿宋_GB2312" w:cs="宋体"/>
          <w:kern w:val="0"/>
          <w:sz w:val="36"/>
          <w:szCs w:val="36"/>
          <w:highlight w:val="none"/>
          <w:lang w:eastAsia="zh-CN"/>
        </w:rPr>
        <w:t>资产负债管理</w:t>
      </w:r>
      <w:r>
        <w:rPr>
          <w:rFonts w:hint="eastAsia" w:ascii="仿宋_GB2312" w:hAnsi="微软雅黑" w:eastAsia="仿宋_GB2312" w:cs="宋体"/>
          <w:kern w:val="0"/>
          <w:sz w:val="36"/>
          <w:szCs w:val="36"/>
          <w:highlight w:val="none"/>
        </w:rPr>
        <w:t>职责：</w:t>
      </w:r>
    </w:p>
    <w:p>
      <w:pPr>
        <w:widowControl/>
        <w:shd w:val="clear" w:color="auto" w:fill="FEFEFE"/>
        <w:snapToGrid w:val="0"/>
        <w:spacing w:beforeLines="0" w:afterLines="0" w:line="600" w:lineRule="exact"/>
        <w:ind w:firstLine="640"/>
        <w:rPr>
          <w:rFonts w:hint="eastAsia" w:ascii="仿宋_GB2312" w:hAnsi="Times New Roman" w:eastAsia="仿宋_GB2312" w:cs="Times New Roman"/>
          <w:kern w:val="0"/>
          <w:sz w:val="36"/>
          <w:szCs w:val="36"/>
          <w:highlight w:val="none"/>
          <w:lang w:eastAsia="zh-CN"/>
        </w:rPr>
      </w:pPr>
      <w:r>
        <w:rPr>
          <w:rFonts w:hint="eastAsia" w:ascii="仿宋_GB2312" w:hAnsi="Times New Roman" w:eastAsia="仿宋_GB2312" w:cs="Times New Roman"/>
          <w:kern w:val="0"/>
          <w:sz w:val="36"/>
          <w:szCs w:val="36"/>
          <w:highlight w:val="none"/>
          <w:lang w:eastAsia="zh-CN"/>
        </w:rPr>
        <w:t>（</w:t>
      </w:r>
      <w:r>
        <w:rPr>
          <w:rFonts w:hint="eastAsia" w:ascii="仿宋_GB2312" w:hAnsi="Times New Roman" w:eastAsia="仿宋_GB2312" w:cs="Times New Roman"/>
          <w:kern w:val="0"/>
          <w:sz w:val="36"/>
          <w:szCs w:val="36"/>
          <w:highlight w:val="none"/>
        </w:rPr>
        <w:t>一</w:t>
      </w:r>
      <w:r>
        <w:rPr>
          <w:rFonts w:hint="eastAsia" w:ascii="仿宋_GB2312" w:hAnsi="Times New Roman" w:eastAsia="仿宋_GB2312" w:cs="Times New Roman"/>
          <w:kern w:val="0"/>
          <w:sz w:val="36"/>
          <w:szCs w:val="36"/>
          <w:highlight w:val="none"/>
          <w:lang w:eastAsia="zh-CN"/>
        </w:rPr>
        <w:t>）</w:t>
      </w:r>
      <w:r>
        <w:rPr>
          <w:rFonts w:hint="eastAsia" w:ascii="仿宋_GB2312" w:eastAsia="仿宋_GB2312" w:cs="仿宋_GB2312"/>
          <w:kern w:val="2"/>
          <w:sz w:val="36"/>
          <w:szCs w:val="36"/>
          <w:highlight w:val="none"/>
        </w:rPr>
        <w:t>制定、定期评估和监督执行</w:t>
      </w:r>
      <w:r>
        <w:rPr>
          <w:rFonts w:hint="eastAsia" w:ascii="仿宋_GB2312" w:eastAsia="仿宋_GB2312" w:cs="仿宋_GB2312"/>
          <w:kern w:val="2"/>
          <w:sz w:val="36"/>
          <w:szCs w:val="36"/>
          <w:highlight w:val="none"/>
          <w:lang w:eastAsia="zh-CN"/>
        </w:rPr>
        <w:t>资产负债</w:t>
      </w:r>
      <w:r>
        <w:rPr>
          <w:rFonts w:hint="eastAsia" w:ascii="仿宋_GB2312" w:eastAsia="仿宋_GB2312" w:cs="仿宋_GB2312"/>
          <w:kern w:val="2"/>
          <w:sz w:val="36"/>
          <w:szCs w:val="36"/>
          <w:highlight w:val="none"/>
        </w:rPr>
        <w:t>管理政策和程序；</w:t>
      </w:r>
    </w:p>
    <w:p>
      <w:pPr>
        <w:widowControl/>
        <w:shd w:val="clear" w:color="auto" w:fill="FEFEFE"/>
        <w:snapToGrid w:val="0"/>
        <w:spacing w:beforeLines="0" w:afterLines="0" w:line="600" w:lineRule="exact"/>
        <w:ind w:firstLine="640"/>
        <w:rPr>
          <w:rFonts w:hint="eastAsia" w:ascii="仿宋_GB2312" w:hAnsi="Times New Roman" w:eastAsia="仿宋_GB2312" w:cs="Times New Roman"/>
          <w:kern w:val="0"/>
          <w:sz w:val="36"/>
          <w:szCs w:val="36"/>
          <w:highlight w:val="none"/>
        </w:rPr>
      </w:pPr>
      <w:r>
        <w:rPr>
          <w:rFonts w:hint="eastAsia" w:ascii="仿宋_GB2312" w:eastAsia="仿宋_GB2312" w:cs="仿宋_GB2312"/>
          <w:kern w:val="2"/>
          <w:sz w:val="36"/>
          <w:szCs w:val="36"/>
          <w:highlight w:val="none"/>
          <w:lang w:eastAsia="zh-CN"/>
        </w:rPr>
        <w:t>（二）</w:t>
      </w:r>
      <w:r>
        <w:rPr>
          <w:rFonts w:hint="eastAsia" w:ascii="仿宋_GB2312" w:eastAsia="仿宋_GB2312" w:cs="仿宋_GB2312"/>
          <w:kern w:val="2"/>
          <w:sz w:val="36"/>
          <w:szCs w:val="36"/>
          <w:highlight w:val="none"/>
        </w:rPr>
        <w:t>明确</w:t>
      </w:r>
      <w:r>
        <w:rPr>
          <w:rFonts w:hint="eastAsia" w:ascii="仿宋_GB2312" w:eastAsia="仿宋_GB2312" w:cs="仿宋_GB2312"/>
          <w:kern w:val="2"/>
          <w:sz w:val="36"/>
          <w:szCs w:val="36"/>
          <w:highlight w:val="none"/>
          <w:lang w:eastAsia="zh-CN"/>
        </w:rPr>
        <w:t>相关</w:t>
      </w:r>
      <w:r>
        <w:rPr>
          <w:rFonts w:hint="eastAsia" w:ascii="仿宋_GB2312" w:eastAsia="仿宋_GB2312" w:cs="仿宋_GB2312"/>
          <w:kern w:val="2"/>
          <w:sz w:val="36"/>
          <w:szCs w:val="36"/>
          <w:highlight w:val="none"/>
        </w:rPr>
        <w:t>职能部门在</w:t>
      </w:r>
      <w:r>
        <w:rPr>
          <w:rFonts w:hint="eastAsia" w:ascii="仿宋_GB2312" w:eastAsia="仿宋_GB2312" w:cs="仿宋_GB2312"/>
          <w:kern w:val="2"/>
          <w:sz w:val="36"/>
          <w:szCs w:val="36"/>
          <w:highlight w:val="none"/>
          <w:lang w:eastAsia="zh-CN"/>
        </w:rPr>
        <w:t>资产负债</w:t>
      </w:r>
      <w:r>
        <w:rPr>
          <w:rFonts w:hint="eastAsia" w:ascii="仿宋_GB2312" w:eastAsia="仿宋_GB2312" w:cs="仿宋_GB2312"/>
          <w:kern w:val="2"/>
          <w:sz w:val="36"/>
          <w:szCs w:val="36"/>
          <w:highlight w:val="none"/>
        </w:rPr>
        <w:t>管理中的职责分工和报告要求，</w:t>
      </w:r>
      <w:r>
        <w:rPr>
          <w:rFonts w:hint="eastAsia" w:ascii="仿宋_GB2312" w:hAnsi="Times New Roman" w:eastAsia="仿宋_GB2312" w:cs="Times New Roman"/>
          <w:kern w:val="0"/>
          <w:sz w:val="36"/>
          <w:szCs w:val="36"/>
          <w:highlight w:val="none"/>
        </w:rPr>
        <w:t>建立部门之间的沟通协商机制，定期评估沟通协商机制的执行情况；</w:t>
      </w:r>
    </w:p>
    <w:p>
      <w:pPr>
        <w:widowControl/>
        <w:shd w:val="clear" w:color="auto" w:fill="FEFEFE"/>
        <w:snapToGrid w:val="0"/>
        <w:spacing w:beforeLines="0" w:afterLines="0" w:line="600" w:lineRule="exact"/>
        <w:ind w:firstLine="640"/>
        <w:rPr>
          <w:rFonts w:hint="eastAsia" w:ascii="仿宋_GB2312" w:hAnsi="Times New Roman" w:eastAsia="仿宋_GB2312" w:cs="Times New Roman"/>
          <w:kern w:val="0"/>
          <w:sz w:val="36"/>
          <w:szCs w:val="36"/>
          <w:highlight w:val="none"/>
          <w:lang w:eastAsia="zh-CN"/>
        </w:rPr>
      </w:pPr>
      <w:r>
        <w:rPr>
          <w:rFonts w:hint="eastAsia" w:ascii="仿宋_GB2312" w:hAnsi="Times New Roman" w:eastAsia="仿宋_GB2312" w:cs="Times New Roman"/>
          <w:kern w:val="0"/>
          <w:sz w:val="36"/>
          <w:szCs w:val="36"/>
          <w:highlight w:val="none"/>
          <w:lang w:eastAsia="zh-CN"/>
        </w:rPr>
        <w:t>（</w:t>
      </w:r>
      <w:r>
        <w:rPr>
          <w:rFonts w:hint="eastAsia" w:ascii="仿宋_GB2312" w:hAnsi="Times New Roman" w:eastAsia="仿宋_GB2312" w:cs="Times New Roman"/>
          <w:kern w:val="0"/>
          <w:sz w:val="36"/>
          <w:szCs w:val="36"/>
          <w:highlight w:val="none"/>
        </w:rPr>
        <w:t>三</w:t>
      </w:r>
      <w:r>
        <w:rPr>
          <w:rFonts w:hint="eastAsia" w:ascii="仿宋_GB2312" w:hAnsi="Times New Roman" w:eastAsia="仿宋_GB2312" w:cs="Times New Roman"/>
          <w:kern w:val="0"/>
          <w:sz w:val="36"/>
          <w:szCs w:val="36"/>
          <w:highlight w:val="none"/>
          <w:lang w:eastAsia="zh-CN"/>
        </w:rPr>
        <w:t>）制定并组织实施</w:t>
      </w:r>
      <w:r>
        <w:rPr>
          <w:rFonts w:hint="eastAsia" w:ascii="仿宋_GB2312" w:hAnsi="Times New Roman" w:eastAsia="仿宋_GB2312" w:cs="Times New Roman"/>
          <w:kern w:val="0"/>
          <w:sz w:val="36"/>
          <w:szCs w:val="36"/>
          <w:highlight w:val="none"/>
        </w:rPr>
        <w:t>业务规划</w:t>
      </w:r>
      <w:r>
        <w:rPr>
          <w:rFonts w:hint="eastAsia" w:ascii="仿宋_GB2312" w:hAnsi="Times New Roman" w:eastAsia="仿宋_GB2312" w:cs="Times New Roman"/>
          <w:kern w:val="0"/>
          <w:sz w:val="36"/>
          <w:szCs w:val="36"/>
          <w:highlight w:val="none"/>
          <w:lang w:eastAsia="zh-CN"/>
        </w:rPr>
        <w:t>和资产配置政策；</w:t>
      </w:r>
    </w:p>
    <w:p>
      <w:pPr>
        <w:widowControl/>
        <w:shd w:val="clear" w:color="auto" w:fill="FEFEFE"/>
        <w:snapToGrid w:val="0"/>
        <w:spacing w:beforeLines="0" w:afterLines="0" w:line="600" w:lineRule="exact"/>
        <w:ind w:firstLine="640"/>
        <w:rPr>
          <w:rFonts w:ascii="仿宋_GB2312" w:hAnsi="Times New Roman" w:eastAsia="仿宋_GB2312" w:cs="Times New Roman"/>
          <w:kern w:val="0"/>
          <w:sz w:val="36"/>
          <w:szCs w:val="36"/>
          <w:highlight w:val="none"/>
        </w:rPr>
      </w:pPr>
      <w:r>
        <w:rPr>
          <w:rFonts w:hint="eastAsia" w:ascii="仿宋_GB2312" w:hAnsi="Times New Roman" w:eastAsia="仿宋_GB2312" w:cs="Times New Roman"/>
          <w:kern w:val="0"/>
          <w:sz w:val="36"/>
          <w:szCs w:val="36"/>
          <w:highlight w:val="none"/>
          <w:lang w:eastAsia="zh-CN"/>
        </w:rPr>
        <w:t>（</w:t>
      </w:r>
      <w:r>
        <w:rPr>
          <w:rFonts w:hint="eastAsia" w:ascii="仿宋_GB2312" w:hAnsi="Times New Roman" w:eastAsia="仿宋_GB2312" w:cs="Times New Roman"/>
          <w:kern w:val="0"/>
          <w:sz w:val="36"/>
          <w:szCs w:val="36"/>
          <w:highlight w:val="none"/>
        </w:rPr>
        <w:t>四</w:t>
      </w:r>
      <w:r>
        <w:rPr>
          <w:rFonts w:hint="eastAsia" w:ascii="仿宋_GB2312" w:hAnsi="Times New Roman" w:eastAsia="仿宋_GB2312" w:cs="Times New Roman"/>
          <w:kern w:val="0"/>
          <w:sz w:val="36"/>
          <w:szCs w:val="36"/>
          <w:highlight w:val="none"/>
          <w:lang w:eastAsia="zh-CN"/>
        </w:rPr>
        <w:t>）审议或审批</w:t>
      </w:r>
      <w:r>
        <w:rPr>
          <w:rFonts w:hint="eastAsia" w:ascii="仿宋_GB2312" w:hAnsi="Times New Roman" w:eastAsia="仿宋_GB2312" w:cs="Times New Roman"/>
          <w:kern w:val="0"/>
          <w:sz w:val="36"/>
          <w:szCs w:val="36"/>
          <w:highlight w:val="none"/>
        </w:rPr>
        <w:t>保险产品分红和万能结算政策</w:t>
      </w:r>
      <w:r>
        <w:rPr>
          <w:rFonts w:hint="eastAsia" w:ascii="仿宋_GB2312" w:hAnsi="Times New Roman" w:eastAsia="仿宋_GB2312" w:cs="Times New Roman"/>
          <w:kern w:val="0"/>
          <w:sz w:val="36"/>
          <w:szCs w:val="36"/>
          <w:highlight w:val="none"/>
          <w:lang w:eastAsia="zh-CN"/>
        </w:rPr>
        <w:t>，</w:t>
      </w:r>
      <w:r>
        <w:rPr>
          <w:rFonts w:hint="eastAsia" w:ascii="仿宋_GB2312" w:hAnsi="Times New Roman" w:eastAsia="仿宋_GB2312" w:cs="Times New Roman"/>
          <w:kern w:val="0"/>
          <w:sz w:val="36"/>
          <w:szCs w:val="36"/>
          <w:highlight w:val="none"/>
        </w:rPr>
        <w:t>以及对公司资产负债匹配状况造成重大影响的产品；</w:t>
      </w:r>
    </w:p>
    <w:p>
      <w:pPr>
        <w:widowControl/>
        <w:shd w:val="clear" w:color="auto" w:fill="FEFEFE"/>
        <w:snapToGrid w:val="0"/>
        <w:spacing w:beforeLines="0" w:afterLines="0" w:line="600" w:lineRule="exact"/>
        <w:ind w:firstLine="640"/>
        <w:rPr>
          <w:rFonts w:hint="eastAsia" w:ascii="仿宋_GB2312" w:hAnsi="Times New Roman" w:eastAsia="仿宋_GB2312" w:cs="Times New Roman"/>
          <w:kern w:val="0"/>
          <w:sz w:val="36"/>
          <w:szCs w:val="36"/>
          <w:highlight w:val="none"/>
        </w:rPr>
      </w:pPr>
      <w:r>
        <w:rPr>
          <w:rFonts w:hint="eastAsia" w:ascii="仿宋_GB2312" w:hAnsi="Times New Roman" w:eastAsia="仿宋_GB2312" w:cs="Times New Roman"/>
          <w:kern w:val="0"/>
          <w:sz w:val="36"/>
          <w:szCs w:val="36"/>
          <w:highlight w:val="none"/>
          <w:lang w:eastAsia="zh-CN"/>
        </w:rPr>
        <w:t>（五）至少每季度听取资产负债管理情况汇报，</w:t>
      </w:r>
      <w:r>
        <w:rPr>
          <w:rFonts w:hint="eastAsia" w:ascii="仿宋_GB2312" w:hAnsi="Times New Roman" w:eastAsia="仿宋_GB2312" w:cs="Times New Roman"/>
          <w:kern w:val="0"/>
          <w:sz w:val="36"/>
          <w:szCs w:val="36"/>
          <w:highlight w:val="none"/>
        </w:rPr>
        <w:t>控制和管理资产负债错配风险；</w:t>
      </w:r>
    </w:p>
    <w:p>
      <w:pPr>
        <w:widowControl/>
        <w:shd w:val="clear" w:color="auto" w:fill="FEFEFE"/>
        <w:snapToGrid w:val="0"/>
        <w:spacing w:beforeLines="0" w:afterLines="0" w:line="600" w:lineRule="exact"/>
        <w:ind w:right="120" w:firstLine="640"/>
        <w:rPr>
          <w:rFonts w:hint="eastAsia" w:ascii="仿宋_GB2312" w:hAnsi="微软雅黑" w:eastAsia="仿宋_GB2312" w:cs="宋体"/>
          <w:kern w:val="0"/>
          <w:sz w:val="36"/>
          <w:szCs w:val="36"/>
          <w:highlight w:val="none"/>
          <w:lang w:eastAsia="zh-CN"/>
        </w:rPr>
      </w:pPr>
      <w:r>
        <w:rPr>
          <w:rFonts w:hint="eastAsia" w:ascii="仿宋_GB2312" w:hAnsi="微软雅黑" w:eastAsia="仿宋_GB2312" w:cs="宋体"/>
          <w:kern w:val="0"/>
          <w:sz w:val="36"/>
          <w:szCs w:val="36"/>
          <w:highlight w:val="none"/>
          <w:lang w:eastAsia="zh-CN"/>
        </w:rPr>
        <w:t>（六）建立资产负债管理绩效评估体系，包括资产负债管理考核评价方法和标准；</w:t>
      </w:r>
    </w:p>
    <w:p>
      <w:pPr>
        <w:widowControl/>
        <w:shd w:val="clear" w:color="auto" w:fill="FEFEFE"/>
        <w:snapToGrid w:val="0"/>
        <w:spacing w:beforeLines="0" w:afterLines="0" w:line="600" w:lineRule="exact"/>
        <w:ind w:right="120" w:firstLine="640"/>
        <w:rPr>
          <w:rFonts w:hint="eastAsia" w:ascii="仿宋_GB2312" w:hAnsi="微软雅黑" w:eastAsia="仿宋_GB2312" w:cs="宋体"/>
          <w:kern w:val="0"/>
          <w:sz w:val="36"/>
          <w:szCs w:val="36"/>
          <w:highlight w:val="none"/>
          <w:lang w:eastAsia="zh-CN"/>
        </w:rPr>
      </w:pPr>
      <w:r>
        <w:rPr>
          <w:rFonts w:hint="eastAsia" w:ascii="仿宋_GB2312" w:eastAsia="仿宋_GB2312" w:cs="仿宋_GB2312"/>
          <w:kern w:val="2"/>
          <w:sz w:val="36"/>
          <w:szCs w:val="36"/>
          <w:highlight w:val="none"/>
        </w:rPr>
        <w:t>（</w:t>
      </w:r>
      <w:r>
        <w:rPr>
          <w:rFonts w:hint="eastAsia" w:ascii="仿宋_GB2312" w:eastAsia="仿宋_GB2312" w:cs="仿宋_GB2312"/>
          <w:kern w:val="2"/>
          <w:sz w:val="36"/>
          <w:szCs w:val="36"/>
          <w:highlight w:val="none"/>
          <w:lang w:eastAsia="zh-CN"/>
        </w:rPr>
        <w:t>七</w:t>
      </w:r>
      <w:r>
        <w:rPr>
          <w:rFonts w:hint="eastAsia" w:ascii="仿宋_GB2312" w:eastAsia="仿宋_GB2312" w:cs="仿宋_GB2312"/>
          <w:kern w:val="2"/>
          <w:sz w:val="36"/>
          <w:szCs w:val="36"/>
          <w:highlight w:val="none"/>
        </w:rPr>
        <w:t>）为</w:t>
      </w:r>
      <w:r>
        <w:rPr>
          <w:rFonts w:hint="eastAsia" w:ascii="仿宋_GB2312" w:eastAsia="仿宋_GB2312" w:cs="仿宋_GB2312"/>
          <w:kern w:val="2"/>
          <w:sz w:val="36"/>
          <w:szCs w:val="36"/>
          <w:highlight w:val="none"/>
          <w:lang w:eastAsia="zh-CN"/>
        </w:rPr>
        <w:t>资产负债</w:t>
      </w:r>
      <w:r>
        <w:rPr>
          <w:rFonts w:hint="eastAsia" w:ascii="仿宋_GB2312" w:eastAsia="仿宋_GB2312" w:cs="仿宋_GB2312"/>
          <w:kern w:val="2"/>
          <w:sz w:val="36"/>
          <w:szCs w:val="36"/>
          <w:highlight w:val="none"/>
        </w:rPr>
        <w:t>管理配备充足财务、人力和信息科技系统等资源；</w:t>
      </w:r>
    </w:p>
    <w:p>
      <w:pPr>
        <w:widowControl/>
        <w:shd w:val="clear" w:color="auto" w:fill="FEFEFE"/>
        <w:snapToGrid w:val="0"/>
        <w:spacing w:beforeLines="0" w:afterLines="0" w:line="600" w:lineRule="exact"/>
        <w:ind w:right="120" w:firstLine="64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（八）</w:t>
      </w:r>
      <w:r>
        <w:rPr>
          <w:rFonts w:hint="eastAsia" w:ascii="仿宋_GB2312" w:hAnsi="微软雅黑" w:eastAsia="仿宋_GB2312" w:cs="宋体"/>
          <w:kern w:val="0"/>
          <w:sz w:val="36"/>
          <w:szCs w:val="36"/>
          <w:highlight w:val="none"/>
        </w:rPr>
        <w:t>其他相关职责。</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高级管理层</w:t>
      </w:r>
      <w:r>
        <w:rPr>
          <w:rFonts w:hint="eastAsia" w:ascii="仿宋_GB2312" w:hAnsi="微软雅黑" w:eastAsia="仿宋_GB2312" w:cs="宋体"/>
          <w:kern w:val="0"/>
          <w:sz w:val="36"/>
          <w:szCs w:val="36"/>
          <w:highlight w:val="none"/>
          <w:lang w:eastAsia="zh-CN"/>
        </w:rPr>
        <w:t>应当</w:t>
      </w:r>
      <w:r>
        <w:rPr>
          <w:rFonts w:hint="eastAsia" w:ascii="仿宋_GB2312" w:hAnsi="微软雅黑" w:eastAsia="仿宋_GB2312" w:cs="宋体"/>
          <w:kern w:val="0"/>
          <w:sz w:val="36"/>
          <w:szCs w:val="36"/>
          <w:highlight w:val="none"/>
        </w:rPr>
        <w:t>设立资产负债管理执行委员会</w:t>
      </w:r>
      <w:r>
        <w:rPr>
          <w:rFonts w:hint="eastAsia" w:ascii="仿宋_GB2312" w:hAnsi="微软雅黑" w:eastAsia="仿宋_GB2312" w:cs="宋体"/>
          <w:kern w:val="0"/>
          <w:sz w:val="36"/>
          <w:szCs w:val="36"/>
          <w:highlight w:val="none"/>
          <w:lang w:eastAsia="zh-CN"/>
        </w:rPr>
        <w:t>，并</w:t>
      </w:r>
      <w:r>
        <w:rPr>
          <w:rFonts w:hint="eastAsia" w:ascii="仿宋_GB2312" w:eastAsia="仿宋_GB2312" w:cs="仿宋_GB2312"/>
          <w:kern w:val="2"/>
          <w:sz w:val="36"/>
          <w:szCs w:val="36"/>
          <w:highlight w:val="none"/>
        </w:rPr>
        <w:t>授权</w:t>
      </w:r>
      <w:r>
        <w:rPr>
          <w:rFonts w:hint="eastAsia" w:ascii="仿宋_GB2312" w:eastAsia="仿宋_GB2312" w:cs="仿宋_GB2312"/>
          <w:kern w:val="2"/>
          <w:sz w:val="36"/>
          <w:szCs w:val="36"/>
          <w:highlight w:val="none"/>
          <w:lang w:eastAsia="zh-CN"/>
        </w:rPr>
        <w:t>其</w:t>
      </w:r>
      <w:r>
        <w:rPr>
          <w:rFonts w:hint="eastAsia" w:ascii="仿宋_GB2312" w:eastAsia="仿宋_GB2312" w:cs="仿宋_GB2312"/>
          <w:kern w:val="2"/>
          <w:sz w:val="36"/>
          <w:szCs w:val="36"/>
          <w:highlight w:val="none"/>
        </w:rPr>
        <w:t>履行以上部分职能</w:t>
      </w:r>
      <w:r>
        <w:rPr>
          <w:rFonts w:hint="eastAsia" w:ascii="仿宋_GB2312" w:eastAsia="仿宋_GB2312" w:cs="仿宋_GB2312"/>
          <w:kern w:val="2"/>
          <w:sz w:val="36"/>
          <w:szCs w:val="36"/>
          <w:highlight w:val="none"/>
          <w:lang w:eastAsia="zh-CN"/>
        </w:rPr>
        <w:t>。</w:t>
      </w:r>
      <w:r>
        <w:rPr>
          <w:rFonts w:hint="eastAsia" w:ascii="仿宋_GB2312" w:hAnsi="微软雅黑" w:eastAsia="仿宋_GB2312" w:cs="宋体"/>
          <w:kern w:val="0"/>
          <w:sz w:val="36"/>
          <w:szCs w:val="36"/>
          <w:highlight w:val="none"/>
        </w:rPr>
        <w:t>资产负债管理执行委员会主任</w:t>
      </w:r>
      <w:r>
        <w:rPr>
          <w:rFonts w:hint="eastAsia" w:ascii="仿宋_GB2312" w:hAnsi="微软雅黑" w:eastAsia="仿宋_GB2312" w:cs="宋体"/>
          <w:kern w:val="0"/>
          <w:sz w:val="36"/>
          <w:szCs w:val="36"/>
          <w:highlight w:val="none"/>
          <w:lang w:eastAsia="zh-CN"/>
        </w:rPr>
        <w:t>应当</w:t>
      </w:r>
      <w:r>
        <w:rPr>
          <w:rFonts w:hint="eastAsia" w:ascii="仿宋_GB2312" w:hAnsi="微软雅黑" w:eastAsia="仿宋_GB2312" w:cs="宋体"/>
          <w:kern w:val="0"/>
          <w:sz w:val="36"/>
          <w:szCs w:val="36"/>
          <w:highlight w:val="none"/>
        </w:rPr>
        <w:t>由总经理</w:t>
      </w:r>
      <w:r>
        <w:rPr>
          <w:rFonts w:hint="eastAsia" w:ascii="仿宋_GB2312" w:hAnsi="微软雅黑" w:eastAsia="仿宋_GB2312" w:cs="宋体"/>
          <w:kern w:val="0"/>
          <w:sz w:val="36"/>
          <w:szCs w:val="36"/>
          <w:highlight w:val="none"/>
          <w:lang w:eastAsia="zh-CN"/>
        </w:rPr>
        <w:t>或</w:t>
      </w:r>
      <w:r>
        <w:rPr>
          <w:rFonts w:hint="eastAsia" w:ascii="仿宋_GB2312" w:hAnsi="微软雅黑" w:eastAsia="仿宋_GB2312" w:cs="宋体"/>
          <w:kern w:val="0"/>
          <w:sz w:val="36"/>
          <w:szCs w:val="36"/>
          <w:highlight w:val="none"/>
        </w:rPr>
        <w:t>资产负债管理委员会</w:t>
      </w:r>
      <w:r>
        <w:rPr>
          <w:rFonts w:hint="eastAsia" w:ascii="仿宋_GB2312" w:hAnsi="微软雅黑" w:eastAsia="仿宋_GB2312" w:cs="宋体"/>
          <w:kern w:val="0"/>
          <w:sz w:val="36"/>
          <w:szCs w:val="36"/>
          <w:highlight w:val="none"/>
          <w:lang w:eastAsia="zh-CN"/>
        </w:rPr>
        <w:t>成员</w:t>
      </w:r>
      <w:r>
        <w:rPr>
          <w:rFonts w:hint="eastAsia" w:ascii="仿宋_GB2312" w:hAnsi="微软雅黑" w:eastAsia="仿宋_GB2312" w:cs="宋体"/>
          <w:kern w:val="0"/>
          <w:sz w:val="36"/>
          <w:szCs w:val="36"/>
          <w:highlight w:val="none"/>
        </w:rPr>
        <w:t>担任，委员至少包含分管产品、精算、</w:t>
      </w:r>
      <w:r>
        <w:rPr>
          <w:rFonts w:hint="eastAsia" w:ascii="仿宋_GB2312" w:hAnsi="微软雅黑" w:eastAsia="仿宋_GB2312" w:cs="宋体"/>
          <w:kern w:val="0"/>
          <w:sz w:val="36"/>
          <w:szCs w:val="36"/>
          <w:highlight w:val="none"/>
          <w:lang w:eastAsia="zh-CN"/>
        </w:rPr>
        <w:t>主要销售渠道、</w:t>
      </w:r>
      <w:r>
        <w:rPr>
          <w:rFonts w:hint="eastAsia" w:ascii="仿宋_GB2312" w:hAnsi="微软雅黑" w:eastAsia="仿宋_GB2312" w:cs="宋体"/>
          <w:kern w:val="0"/>
          <w:sz w:val="36"/>
          <w:szCs w:val="36"/>
          <w:highlight w:val="none"/>
        </w:rPr>
        <w:t>投资、风险管理、财务等职能部门的公司级负责人。</w:t>
      </w:r>
    </w:p>
    <w:p>
      <w:pPr>
        <w:pStyle w:val="4"/>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eastAsia="zh-CN"/>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十</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【专业部门】</w:t>
      </w:r>
      <w:r>
        <w:rPr>
          <w:rFonts w:hint="eastAsia" w:ascii="仿宋_GB2312" w:hAnsi="微软雅黑" w:eastAsia="仿宋_GB2312" w:cs="宋体"/>
          <w:kern w:val="0"/>
          <w:sz w:val="36"/>
          <w:szCs w:val="36"/>
          <w:highlight w:val="none"/>
        </w:rPr>
        <w:t xml:space="preserve"> </w:t>
      </w:r>
      <w:r>
        <w:rPr>
          <w:rFonts w:hint="eastAsia" w:ascii="仿宋_GB2312" w:hAnsi="微软雅黑" w:eastAsia="仿宋_GB2312" w:cs="宋体"/>
          <w:kern w:val="0"/>
          <w:sz w:val="36"/>
          <w:szCs w:val="36"/>
          <w:highlight w:val="none"/>
          <w:lang w:eastAsia="zh-CN"/>
        </w:rPr>
        <w:t>保险公司应当设置资产负债管理部门，配备</w:t>
      </w:r>
      <w:r>
        <w:rPr>
          <w:rFonts w:hint="eastAsia" w:ascii="仿宋_GB2312" w:eastAsia="仿宋_GB2312" w:cs="仿宋_GB2312"/>
          <w:kern w:val="2"/>
          <w:sz w:val="36"/>
          <w:szCs w:val="36"/>
          <w:highlight w:val="none"/>
        </w:rPr>
        <w:t>履行</w:t>
      </w:r>
      <w:r>
        <w:rPr>
          <w:rFonts w:hint="eastAsia" w:ascii="仿宋_GB2312" w:eastAsia="仿宋_GB2312" w:cs="仿宋_GB2312"/>
          <w:kern w:val="2"/>
          <w:sz w:val="36"/>
          <w:szCs w:val="36"/>
          <w:highlight w:val="none"/>
          <w:lang w:eastAsia="zh-CN"/>
        </w:rPr>
        <w:t>资产负债</w:t>
      </w:r>
      <w:r>
        <w:rPr>
          <w:rFonts w:hint="eastAsia" w:ascii="仿宋_GB2312" w:eastAsia="仿宋_GB2312" w:cs="仿宋_GB2312"/>
          <w:kern w:val="2"/>
          <w:sz w:val="36"/>
          <w:szCs w:val="36"/>
          <w:highlight w:val="none"/>
        </w:rPr>
        <w:t>管理职责所需要的人力、物力资源</w:t>
      </w:r>
      <w:r>
        <w:rPr>
          <w:rFonts w:hint="eastAsia" w:ascii="仿宋_GB2312" w:eastAsia="仿宋_GB2312" w:cs="仿宋_GB2312"/>
          <w:kern w:val="2"/>
          <w:sz w:val="36"/>
          <w:szCs w:val="36"/>
          <w:highlight w:val="none"/>
          <w:lang w:eastAsia="zh-CN"/>
        </w:rPr>
        <w:t>，履职应当保持独立性，不受保险业务和投资管理部门干预</w:t>
      </w:r>
      <w:r>
        <w:rPr>
          <w:rFonts w:hint="eastAsia" w:ascii="仿宋_GB2312" w:eastAsia="仿宋_GB2312" w:cs="仿宋_GB2312"/>
          <w:kern w:val="2"/>
          <w:sz w:val="36"/>
          <w:szCs w:val="36"/>
          <w:highlight w:val="none"/>
        </w:rPr>
        <w:t>。</w:t>
      </w:r>
      <w:r>
        <w:rPr>
          <w:rFonts w:hint="eastAsia" w:ascii="仿宋_GB2312" w:hAnsi="微软雅黑" w:eastAsia="仿宋_GB2312" w:cs="宋体"/>
          <w:kern w:val="0"/>
          <w:sz w:val="36"/>
          <w:szCs w:val="36"/>
          <w:highlight w:val="none"/>
          <w:lang w:eastAsia="zh-CN"/>
        </w:rPr>
        <w:t>资产负债管理部门应当履行下列职责：</w:t>
      </w:r>
    </w:p>
    <w:p>
      <w:pPr>
        <w:pStyle w:val="4"/>
        <w:shd w:val="clear" w:color="auto" w:fill="FEFEFE"/>
        <w:adjustRightInd w:val="0"/>
        <w:snapToGrid w:val="0"/>
        <w:spacing w:beforeLines="0" w:afterLines="0" w:line="600" w:lineRule="exact"/>
        <w:ind w:right="119" w:firstLine="641" w:firstLineChars="0"/>
        <w:rPr>
          <w:rFonts w:hint="eastAsia" w:ascii="仿宋_GB2312" w:hAnsi="仿宋" w:eastAsia="仿宋_GB2312" w:cs="Arial"/>
          <w:kern w:val="2"/>
          <w:sz w:val="36"/>
          <w:szCs w:val="36"/>
          <w:highlight w:val="none"/>
          <w:lang w:eastAsia="zh-CN"/>
        </w:rPr>
      </w:pPr>
      <w:r>
        <w:rPr>
          <w:rFonts w:hint="eastAsia" w:ascii="仿宋_GB2312" w:hAnsi="仿宋" w:eastAsia="仿宋_GB2312" w:cs="Arial"/>
          <w:kern w:val="2"/>
          <w:sz w:val="36"/>
          <w:szCs w:val="36"/>
          <w:highlight w:val="none"/>
          <w:lang w:eastAsia="zh-CN"/>
        </w:rPr>
        <w:t>（一）拟定资产负债管理</w:t>
      </w:r>
      <w:r>
        <w:rPr>
          <w:rFonts w:hint="eastAsia" w:ascii="仿宋_GB2312" w:hAnsi="仿宋" w:eastAsia="仿宋_GB2312" w:cs="Arial"/>
          <w:kern w:val="2"/>
          <w:sz w:val="36"/>
          <w:szCs w:val="36"/>
          <w:highlight w:val="none"/>
        </w:rPr>
        <w:t>相关制度</w:t>
      </w:r>
      <w:r>
        <w:rPr>
          <w:rFonts w:hint="eastAsia" w:ascii="仿宋_GB2312" w:hAnsi="仿宋" w:eastAsia="仿宋_GB2312" w:cs="Arial"/>
          <w:kern w:val="2"/>
          <w:sz w:val="36"/>
          <w:szCs w:val="36"/>
          <w:highlight w:val="none"/>
          <w:lang w:eastAsia="zh-CN"/>
        </w:rPr>
        <w:t>和方法；</w:t>
      </w:r>
    </w:p>
    <w:p>
      <w:pPr>
        <w:pStyle w:val="4"/>
        <w:shd w:val="clear" w:color="auto" w:fill="FEFEFE"/>
        <w:adjustRightInd w:val="0"/>
        <w:snapToGrid w:val="0"/>
        <w:spacing w:beforeLines="0" w:afterLines="0" w:line="600" w:lineRule="exact"/>
        <w:ind w:right="119" w:firstLine="641" w:firstLineChars="0"/>
        <w:rPr>
          <w:rFonts w:hint="eastAsia" w:ascii="仿宋_GB2312" w:hAnsi="仿宋" w:eastAsia="仿宋_GB2312" w:cs="Arial"/>
          <w:kern w:val="2"/>
          <w:sz w:val="36"/>
          <w:szCs w:val="36"/>
          <w:highlight w:val="none"/>
          <w:lang w:eastAsia="zh-CN"/>
        </w:rPr>
      </w:pPr>
      <w:r>
        <w:rPr>
          <w:rFonts w:hint="eastAsia" w:ascii="仿宋_GB2312" w:hAnsi="仿宋" w:eastAsia="仿宋_GB2312" w:cs="Arial"/>
          <w:kern w:val="2"/>
          <w:sz w:val="36"/>
          <w:szCs w:val="36"/>
          <w:highlight w:val="none"/>
          <w:lang w:eastAsia="zh-CN"/>
        </w:rPr>
        <w:t>（二）拟定并协调实施</w:t>
      </w:r>
      <w:r>
        <w:rPr>
          <w:rFonts w:hint="eastAsia" w:ascii="仿宋_GB2312" w:hAnsi="仿宋" w:eastAsia="仿宋_GB2312" w:cs="Arial"/>
          <w:kern w:val="2"/>
          <w:sz w:val="36"/>
          <w:szCs w:val="36"/>
          <w:highlight w:val="none"/>
        </w:rPr>
        <w:t>资产负债管理</w:t>
      </w:r>
      <w:r>
        <w:rPr>
          <w:rFonts w:hint="eastAsia" w:ascii="仿宋_GB2312" w:hAnsi="仿宋" w:eastAsia="仿宋_GB2312" w:cs="Arial"/>
          <w:kern w:val="2"/>
          <w:sz w:val="36"/>
          <w:szCs w:val="36"/>
          <w:highlight w:val="none"/>
          <w:lang w:eastAsia="zh-CN"/>
        </w:rPr>
        <w:t>政策和程序；</w:t>
      </w:r>
    </w:p>
    <w:p>
      <w:pPr>
        <w:pStyle w:val="4"/>
        <w:shd w:val="clear" w:color="auto" w:fill="FEFEFE"/>
        <w:adjustRightInd w:val="0"/>
        <w:snapToGrid w:val="0"/>
        <w:spacing w:beforeLines="0" w:afterLines="0" w:line="600" w:lineRule="exact"/>
        <w:ind w:right="119" w:firstLine="641" w:firstLineChars="0"/>
        <w:rPr>
          <w:rFonts w:hint="eastAsia" w:ascii="仿宋_GB2312" w:hAnsi="仿宋" w:eastAsia="仿宋_GB2312" w:cs="Arial"/>
          <w:sz w:val="36"/>
          <w:szCs w:val="36"/>
          <w:highlight w:val="none"/>
          <w:lang w:eastAsia="zh-CN"/>
        </w:rPr>
      </w:pPr>
      <w:r>
        <w:rPr>
          <w:rFonts w:hint="eastAsia" w:ascii="仿宋_GB2312" w:hAnsi="仿宋" w:eastAsia="仿宋_GB2312" w:cs="Arial"/>
          <w:kern w:val="2"/>
          <w:sz w:val="36"/>
          <w:szCs w:val="36"/>
          <w:highlight w:val="none"/>
          <w:lang w:eastAsia="zh-CN"/>
        </w:rPr>
        <w:t>（三）</w:t>
      </w:r>
      <w:r>
        <w:rPr>
          <w:rFonts w:hint="eastAsia" w:ascii="仿宋_GB2312" w:hAnsi="仿宋" w:eastAsia="仿宋_GB2312" w:cs="Arial"/>
          <w:kern w:val="2"/>
          <w:sz w:val="36"/>
          <w:szCs w:val="36"/>
          <w:highlight w:val="none"/>
        </w:rPr>
        <w:t>跟踪</w:t>
      </w:r>
      <w:r>
        <w:rPr>
          <w:rFonts w:hint="eastAsia" w:ascii="仿宋_GB2312" w:hAnsi="仿宋" w:eastAsia="仿宋_GB2312" w:cs="Arial"/>
          <w:sz w:val="36"/>
          <w:szCs w:val="36"/>
          <w:highlight w:val="none"/>
        </w:rPr>
        <w:t>监测资产负债匹配状况，研究资产负债管理工作中的问题与解决方案</w:t>
      </w:r>
      <w:r>
        <w:rPr>
          <w:rFonts w:hint="eastAsia" w:ascii="仿宋_GB2312" w:hAnsi="仿宋" w:eastAsia="仿宋_GB2312" w:cs="Arial"/>
          <w:sz w:val="36"/>
          <w:szCs w:val="36"/>
          <w:highlight w:val="none"/>
          <w:lang w:eastAsia="zh-CN"/>
        </w:rPr>
        <w:t>；</w:t>
      </w:r>
    </w:p>
    <w:p>
      <w:pPr>
        <w:pStyle w:val="4"/>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eastAsia="zh-CN"/>
        </w:rPr>
      </w:pPr>
      <w:r>
        <w:rPr>
          <w:rFonts w:hint="eastAsia" w:ascii="仿宋_GB2312" w:hAnsi="仿宋" w:eastAsia="仿宋_GB2312" w:cs="Arial"/>
          <w:sz w:val="36"/>
          <w:szCs w:val="36"/>
          <w:highlight w:val="none"/>
          <w:lang w:eastAsia="zh-CN"/>
        </w:rPr>
        <w:t>（四）</w:t>
      </w:r>
      <w:r>
        <w:rPr>
          <w:rFonts w:hint="eastAsia" w:ascii="仿宋_GB2312" w:hAnsi="仿宋" w:eastAsia="仿宋_GB2312" w:cs="Arial"/>
          <w:sz w:val="36"/>
          <w:szCs w:val="36"/>
          <w:highlight w:val="none"/>
        </w:rPr>
        <w:t>针</w:t>
      </w:r>
      <w:r>
        <w:rPr>
          <w:rFonts w:hint="eastAsia" w:ascii="仿宋_GB2312" w:hAnsi="仿宋" w:eastAsia="仿宋_GB2312" w:cs="Arial"/>
          <w:kern w:val="2"/>
          <w:sz w:val="36"/>
          <w:szCs w:val="36"/>
          <w:highlight w:val="none"/>
        </w:rPr>
        <w:t>对公司业务规划、资产配置政策以及对资产负债匹配状况造成重大影响的产品和重大投资</w:t>
      </w:r>
      <w:r>
        <w:rPr>
          <w:rFonts w:hint="eastAsia" w:ascii="仿宋_GB2312" w:hAnsi="仿宋" w:eastAsia="仿宋_GB2312" w:cs="Arial"/>
          <w:kern w:val="2"/>
          <w:sz w:val="36"/>
          <w:szCs w:val="36"/>
          <w:highlight w:val="none"/>
          <w:lang w:eastAsia="zh-CN"/>
        </w:rPr>
        <w:t>等</w:t>
      </w:r>
      <w:r>
        <w:rPr>
          <w:rFonts w:hint="eastAsia" w:ascii="仿宋_GB2312" w:hAnsi="仿宋" w:eastAsia="仿宋_GB2312" w:cs="Arial"/>
          <w:kern w:val="2"/>
          <w:sz w:val="36"/>
          <w:szCs w:val="36"/>
          <w:highlight w:val="none"/>
        </w:rPr>
        <w:t>出具专业意见,为</w:t>
      </w:r>
      <w:r>
        <w:rPr>
          <w:rFonts w:hint="eastAsia" w:ascii="仿宋_GB2312" w:hAnsi="仿宋" w:eastAsia="仿宋_GB2312" w:cs="Arial"/>
          <w:kern w:val="2"/>
          <w:sz w:val="36"/>
          <w:szCs w:val="36"/>
          <w:highlight w:val="none"/>
          <w:lang w:eastAsia="zh-CN"/>
        </w:rPr>
        <w:t>高级管理层</w:t>
      </w:r>
      <w:r>
        <w:rPr>
          <w:rFonts w:hint="eastAsia" w:ascii="仿宋_GB2312" w:hAnsi="仿宋" w:eastAsia="仿宋_GB2312" w:cs="Arial"/>
          <w:kern w:val="2"/>
          <w:sz w:val="36"/>
          <w:szCs w:val="36"/>
          <w:highlight w:val="none"/>
        </w:rPr>
        <w:t>提供</w:t>
      </w:r>
      <w:r>
        <w:rPr>
          <w:rFonts w:hint="eastAsia" w:ascii="仿宋_GB2312" w:hAnsi="微软雅黑" w:eastAsia="仿宋_GB2312" w:cs="宋体"/>
          <w:kern w:val="0"/>
          <w:sz w:val="36"/>
          <w:szCs w:val="36"/>
          <w:highlight w:val="none"/>
        </w:rPr>
        <w:t>决策支持</w:t>
      </w:r>
      <w:r>
        <w:rPr>
          <w:rFonts w:hint="eastAsia" w:ascii="仿宋_GB2312" w:hAnsi="微软雅黑" w:eastAsia="仿宋_GB2312" w:cs="宋体"/>
          <w:kern w:val="0"/>
          <w:sz w:val="36"/>
          <w:szCs w:val="36"/>
          <w:highlight w:val="none"/>
          <w:lang w:eastAsia="zh-CN"/>
        </w:rPr>
        <w:t>；</w:t>
      </w:r>
    </w:p>
    <w:p>
      <w:pPr>
        <w:pStyle w:val="4"/>
        <w:shd w:val="clear" w:color="auto" w:fill="FEFEFE"/>
        <w:adjustRightInd w:val="0"/>
        <w:snapToGrid w:val="0"/>
        <w:spacing w:beforeLines="0" w:afterLines="0" w:line="600" w:lineRule="exact"/>
        <w:ind w:right="119" w:firstLine="641" w:firstLineChars="0"/>
        <w:rPr>
          <w:rFonts w:hint="eastAsia" w:ascii="仿宋_GB2312" w:hAnsi="仿宋" w:eastAsia="仿宋_GB2312" w:cs="Arial"/>
          <w:sz w:val="36"/>
          <w:szCs w:val="36"/>
          <w:highlight w:val="none"/>
          <w:lang w:eastAsia="zh-CN"/>
        </w:rPr>
      </w:pPr>
      <w:r>
        <w:rPr>
          <w:rFonts w:hint="eastAsia" w:ascii="仿宋_GB2312" w:hAnsi="仿宋" w:eastAsia="仿宋_GB2312" w:cs="Arial"/>
          <w:sz w:val="36"/>
          <w:szCs w:val="36"/>
          <w:highlight w:val="none"/>
          <w:lang w:eastAsia="zh-CN"/>
        </w:rPr>
        <w:t>（五）统筹开发资产负债管理模型工具，监控资产负债管理模型的有效性；</w:t>
      </w:r>
    </w:p>
    <w:p>
      <w:pPr>
        <w:pStyle w:val="4"/>
        <w:keepNext w:val="0"/>
        <w:keepLines w:val="0"/>
        <w:widowControl w:val="0"/>
        <w:suppressLineNumbers w:val="0"/>
        <w:shd w:val="clear" w:color="auto" w:fill="FEFEFE"/>
        <w:adjustRightInd w:val="0"/>
        <w:snapToGrid w:val="0"/>
        <w:spacing w:before="0" w:beforeLines="0" w:beforeAutospacing="0" w:after="0" w:afterLines="0" w:afterAutospacing="0" w:line="600" w:lineRule="exact"/>
        <w:ind w:left="0" w:right="119" w:rightChars="0" w:firstLine="641" w:firstLineChars="0"/>
        <w:jc w:val="left"/>
        <w:rPr>
          <w:rFonts w:hint="eastAsia" w:ascii="仿宋_GB2312" w:hAnsi="仿宋" w:eastAsia="仿宋_GB2312" w:cs="Arial"/>
          <w:sz w:val="36"/>
          <w:szCs w:val="36"/>
          <w:highlight w:val="none"/>
        </w:rPr>
      </w:pPr>
      <w:r>
        <w:rPr>
          <w:rFonts w:hint="eastAsia" w:ascii="仿宋_GB2312" w:hAnsi="仿宋" w:eastAsia="仿宋_GB2312" w:cs="Arial"/>
          <w:kern w:val="2"/>
          <w:sz w:val="36"/>
          <w:szCs w:val="36"/>
          <w:highlight w:val="none"/>
        </w:rPr>
        <w:t>（</w:t>
      </w:r>
      <w:r>
        <w:rPr>
          <w:rFonts w:hint="eastAsia" w:ascii="仿宋_GB2312" w:hAnsi="仿宋" w:eastAsia="仿宋_GB2312" w:cs="Arial"/>
          <w:kern w:val="2"/>
          <w:sz w:val="36"/>
          <w:szCs w:val="36"/>
          <w:highlight w:val="none"/>
          <w:lang w:eastAsia="zh-CN"/>
        </w:rPr>
        <w:t>六</w:t>
      </w:r>
      <w:r>
        <w:rPr>
          <w:rFonts w:hint="eastAsia" w:ascii="仿宋_GB2312" w:hAnsi="仿宋" w:eastAsia="仿宋_GB2312" w:cs="Arial"/>
          <w:kern w:val="2"/>
          <w:sz w:val="36"/>
          <w:szCs w:val="36"/>
          <w:highlight w:val="none"/>
        </w:rPr>
        <w:t>）及时向董事会和高级管理层提供</w:t>
      </w:r>
      <w:r>
        <w:rPr>
          <w:rFonts w:hint="eastAsia" w:ascii="仿宋_GB2312" w:hAnsi="仿宋" w:eastAsia="仿宋_GB2312" w:cs="Arial"/>
          <w:kern w:val="2"/>
          <w:sz w:val="36"/>
          <w:szCs w:val="36"/>
          <w:highlight w:val="none"/>
          <w:lang w:eastAsia="zh-CN"/>
        </w:rPr>
        <w:t>资产负债</w:t>
      </w:r>
      <w:r>
        <w:rPr>
          <w:rFonts w:hint="eastAsia" w:ascii="仿宋_GB2312" w:hAnsi="仿宋" w:eastAsia="仿宋_GB2312" w:cs="Arial"/>
          <w:kern w:val="2"/>
          <w:sz w:val="36"/>
          <w:szCs w:val="36"/>
          <w:highlight w:val="none"/>
        </w:rPr>
        <w:t>管理报告；</w:t>
      </w:r>
    </w:p>
    <w:p>
      <w:pPr>
        <w:pStyle w:val="4"/>
        <w:shd w:val="clear" w:color="auto" w:fill="FEFEFE"/>
        <w:adjustRightInd w:val="0"/>
        <w:snapToGrid w:val="0"/>
        <w:spacing w:beforeLines="0" w:afterLines="0" w:line="600" w:lineRule="exact"/>
        <w:ind w:right="119" w:firstLine="641" w:firstLineChars="0"/>
        <w:rPr>
          <w:rFonts w:hint="eastAsia" w:ascii="仿宋_GB2312" w:hAnsi="仿宋" w:eastAsia="仿宋_GB2312" w:cs="Arial"/>
          <w:kern w:val="2"/>
          <w:sz w:val="36"/>
          <w:szCs w:val="36"/>
          <w:highlight w:val="none"/>
          <w:lang w:eastAsia="zh-CN"/>
        </w:rPr>
      </w:pPr>
      <w:r>
        <w:rPr>
          <w:rFonts w:hint="eastAsia" w:ascii="仿宋_GB2312" w:hAnsi="仿宋" w:eastAsia="仿宋_GB2312" w:cs="Arial"/>
          <w:kern w:val="2"/>
          <w:sz w:val="36"/>
          <w:szCs w:val="36"/>
          <w:highlight w:val="none"/>
          <w:lang w:eastAsia="zh-CN"/>
        </w:rPr>
        <w:t>（七）其他有关职责。</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eastAsia="zh-CN"/>
        </w:rPr>
      </w:pPr>
      <w:r>
        <w:rPr>
          <w:rFonts w:hint="eastAsia" w:ascii="仿宋_GB2312" w:hAnsi="微软雅黑" w:eastAsia="仿宋_GB2312" w:cs="宋体"/>
          <w:kern w:val="0"/>
          <w:sz w:val="36"/>
          <w:szCs w:val="36"/>
          <w:highlight w:val="none"/>
        </w:rPr>
        <w:t>第十</w:t>
      </w:r>
      <w:r>
        <w:rPr>
          <w:rFonts w:hint="eastAsia" w:ascii="仿宋_GB2312" w:hAnsi="微软雅黑" w:eastAsia="仿宋_GB2312" w:cs="宋体"/>
          <w:kern w:val="0"/>
          <w:sz w:val="36"/>
          <w:szCs w:val="36"/>
          <w:highlight w:val="none"/>
          <w:lang w:eastAsia="zh-CN"/>
        </w:rPr>
        <w:t>一</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职能部门</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 xml:space="preserve"> 保险公司应当明确产品、精算、</w:t>
      </w:r>
      <w:r>
        <w:rPr>
          <w:rFonts w:hint="eastAsia" w:ascii="仿宋_GB2312" w:hAnsi="微软雅黑" w:eastAsia="仿宋_GB2312" w:cs="宋体"/>
          <w:kern w:val="0"/>
          <w:sz w:val="36"/>
          <w:szCs w:val="36"/>
          <w:highlight w:val="none"/>
          <w:lang w:eastAsia="zh-CN"/>
        </w:rPr>
        <w:t>主要销售渠道、</w:t>
      </w:r>
      <w:r>
        <w:rPr>
          <w:rFonts w:hint="eastAsia" w:ascii="仿宋_GB2312" w:hAnsi="微软雅黑" w:eastAsia="仿宋_GB2312" w:cs="宋体"/>
          <w:kern w:val="0"/>
          <w:sz w:val="36"/>
          <w:szCs w:val="36"/>
          <w:highlight w:val="none"/>
        </w:rPr>
        <w:t>投资、风险管理、财务等职能部门在资产负债管理方面的职责分工</w:t>
      </w:r>
      <w:r>
        <w:rPr>
          <w:rFonts w:hint="eastAsia" w:ascii="仿宋_GB2312" w:hAnsi="微软雅黑" w:eastAsia="仿宋_GB2312" w:cs="宋体"/>
          <w:kern w:val="0"/>
          <w:sz w:val="36"/>
          <w:szCs w:val="36"/>
          <w:highlight w:val="none"/>
          <w:lang w:eastAsia="zh-CN"/>
        </w:rPr>
        <w:t>，职能部门之间应当设置资产负债管理工作小组，</w:t>
      </w:r>
      <w:r>
        <w:rPr>
          <w:rFonts w:hint="eastAsia" w:ascii="仿宋_GB2312" w:hAnsi="微软雅黑" w:eastAsia="仿宋_GB2312" w:cs="宋体"/>
          <w:kern w:val="0"/>
          <w:sz w:val="36"/>
          <w:szCs w:val="36"/>
          <w:highlight w:val="none"/>
        </w:rPr>
        <w:t>每季度</w:t>
      </w:r>
      <w:r>
        <w:rPr>
          <w:rFonts w:hint="eastAsia" w:ascii="仿宋_GB2312" w:hAnsi="微软雅黑" w:eastAsia="仿宋_GB2312" w:cs="宋体"/>
          <w:kern w:val="0"/>
          <w:sz w:val="36"/>
          <w:szCs w:val="36"/>
          <w:highlight w:val="none"/>
          <w:lang w:eastAsia="zh-CN"/>
        </w:rPr>
        <w:t>或月度</w:t>
      </w:r>
      <w:r>
        <w:rPr>
          <w:rFonts w:hint="eastAsia" w:ascii="仿宋_GB2312" w:hAnsi="微软雅黑" w:eastAsia="仿宋_GB2312" w:cs="宋体"/>
          <w:kern w:val="0"/>
          <w:sz w:val="36"/>
          <w:szCs w:val="36"/>
          <w:highlight w:val="none"/>
        </w:rPr>
        <w:t>召开会议，</w:t>
      </w:r>
      <w:r>
        <w:rPr>
          <w:rFonts w:hint="eastAsia" w:ascii="仿宋_GB2312" w:hAnsi="微软雅黑" w:eastAsia="仿宋_GB2312" w:cs="宋体"/>
          <w:kern w:val="0"/>
          <w:sz w:val="36"/>
          <w:szCs w:val="36"/>
          <w:highlight w:val="none"/>
          <w:lang w:eastAsia="zh-CN"/>
        </w:rPr>
        <w:t>讨论</w:t>
      </w:r>
      <w:r>
        <w:rPr>
          <w:rFonts w:hint="eastAsia" w:ascii="仿宋_GB2312" w:hAnsi="微软雅黑" w:eastAsia="仿宋_GB2312" w:cs="宋体"/>
          <w:kern w:val="0"/>
          <w:sz w:val="36"/>
          <w:szCs w:val="36"/>
          <w:highlight w:val="none"/>
        </w:rPr>
        <w:t>资产负债管理相关事项</w:t>
      </w:r>
      <w:r>
        <w:rPr>
          <w:rFonts w:hint="eastAsia" w:ascii="仿宋_GB2312" w:hAnsi="微软雅黑" w:eastAsia="仿宋_GB2312" w:cs="宋体"/>
          <w:kern w:val="0"/>
          <w:sz w:val="36"/>
          <w:szCs w:val="36"/>
          <w:highlight w:val="none"/>
          <w:lang w:eastAsia="zh-CN"/>
        </w:rPr>
        <w:t>。</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宋体" w:eastAsia="仿宋_GB2312" w:cs="仿宋_GB2312"/>
          <w:kern w:val="0"/>
          <w:sz w:val="36"/>
          <w:szCs w:val="36"/>
          <w:highlight w:val="none"/>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十二</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【考核与培训】</w:t>
      </w:r>
      <w:r>
        <w:rPr>
          <w:rFonts w:hint="eastAsia" w:ascii="仿宋_GB2312" w:hAnsi="微软雅黑" w:eastAsia="仿宋_GB2312" w:cs="宋体"/>
          <w:kern w:val="0"/>
          <w:sz w:val="36"/>
          <w:szCs w:val="36"/>
          <w:highlight w:val="none"/>
        </w:rPr>
        <w:t xml:space="preserve"> 保险公司应当</w:t>
      </w:r>
      <w:r>
        <w:rPr>
          <w:rFonts w:hint="eastAsia" w:ascii="仿宋_GB2312" w:hAnsi="微软雅黑" w:eastAsia="仿宋_GB2312" w:cs="宋体"/>
          <w:kern w:val="0"/>
          <w:sz w:val="36"/>
          <w:szCs w:val="36"/>
          <w:highlight w:val="none"/>
          <w:lang w:eastAsia="zh-CN"/>
        </w:rPr>
        <w:t>明确资产负管理绩效考核部门，规范资产负债匹配</w:t>
      </w:r>
      <w:r>
        <w:rPr>
          <w:rFonts w:hint="eastAsia" w:ascii="仿宋_GB2312" w:hAnsi="微软雅黑" w:eastAsia="仿宋_GB2312" w:cs="宋体"/>
          <w:kern w:val="0"/>
          <w:sz w:val="36"/>
          <w:szCs w:val="36"/>
          <w:highlight w:val="none"/>
        </w:rPr>
        <w:t>指标传导机制</w:t>
      </w:r>
      <w:r>
        <w:rPr>
          <w:rFonts w:hint="eastAsia" w:ascii="仿宋_GB2312" w:hAnsi="微软雅黑" w:eastAsia="仿宋_GB2312" w:cs="宋体"/>
          <w:kern w:val="0"/>
          <w:sz w:val="36"/>
          <w:szCs w:val="36"/>
          <w:highlight w:val="none"/>
          <w:lang w:eastAsia="zh-CN"/>
        </w:rPr>
        <w:t>与限额管理</w:t>
      </w:r>
      <w:r>
        <w:rPr>
          <w:rFonts w:hint="eastAsia" w:ascii="仿宋_GB2312" w:hAnsi="微软雅黑" w:eastAsia="仿宋_GB2312" w:cs="宋体"/>
          <w:kern w:val="0"/>
          <w:sz w:val="36"/>
          <w:szCs w:val="36"/>
          <w:highlight w:val="none"/>
        </w:rPr>
        <w:t>，</w:t>
      </w:r>
      <w:r>
        <w:rPr>
          <w:rFonts w:hint="eastAsia" w:ascii="仿宋_GB2312" w:hAnsi="微软雅黑" w:eastAsia="仿宋_GB2312" w:cs="宋体"/>
          <w:kern w:val="0"/>
          <w:sz w:val="36"/>
          <w:szCs w:val="36"/>
          <w:highlight w:val="none"/>
          <w:lang w:eastAsia="zh-CN"/>
        </w:rPr>
        <w:t>明确</w:t>
      </w:r>
      <w:r>
        <w:rPr>
          <w:rFonts w:hint="eastAsia" w:ascii="仿宋_GB2312" w:hAnsi="微软雅黑" w:eastAsia="仿宋_GB2312" w:cs="宋体"/>
          <w:kern w:val="0"/>
          <w:sz w:val="36"/>
          <w:szCs w:val="36"/>
          <w:highlight w:val="none"/>
        </w:rPr>
        <w:t>考核评价方法</w:t>
      </w:r>
      <w:r>
        <w:rPr>
          <w:rFonts w:hint="eastAsia" w:ascii="仿宋_GB2312" w:hAnsi="微软雅黑" w:eastAsia="仿宋_GB2312" w:cs="宋体"/>
          <w:kern w:val="0"/>
          <w:sz w:val="36"/>
          <w:szCs w:val="36"/>
          <w:highlight w:val="none"/>
          <w:lang w:eastAsia="zh-CN"/>
        </w:rPr>
        <w:t>和标准，实施长周期考核评价，</w:t>
      </w:r>
      <w:r>
        <w:rPr>
          <w:rFonts w:hint="eastAsia" w:ascii="仿宋_GB2312" w:hAnsi="宋体" w:eastAsia="仿宋_GB2312" w:cs="仿宋_GB2312"/>
          <w:kern w:val="0"/>
          <w:sz w:val="36"/>
          <w:szCs w:val="36"/>
          <w:highlight w:val="none"/>
        </w:rPr>
        <w:t>防止因过度追求业务扩张和短期利润而放松</w:t>
      </w:r>
      <w:r>
        <w:rPr>
          <w:rFonts w:hint="eastAsia" w:ascii="仿宋_GB2312" w:hAnsi="宋体" w:eastAsia="仿宋_GB2312" w:cs="仿宋_GB2312"/>
          <w:kern w:val="0"/>
          <w:sz w:val="36"/>
          <w:szCs w:val="36"/>
          <w:highlight w:val="none"/>
          <w:lang w:eastAsia="zh-CN"/>
        </w:rPr>
        <w:t>资产负债</w:t>
      </w:r>
      <w:r>
        <w:rPr>
          <w:rFonts w:hint="eastAsia" w:ascii="仿宋_GB2312" w:hAnsi="宋体" w:eastAsia="仿宋_GB2312" w:cs="仿宋_GB2312"/>
          <w:kern w:val="0"/>
          <w:sz w:val="36"/>
          <w:szCs w:val="36"/>
          <w:highlight w:val="none"/>
        </w:rPr>
        <w:t>管理。</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宋体" w:eastAsia="仿宋_GB2312" w:cs="仿宋_GB2312"/>
          <w:kern w:val="0"/>
          <w:sz w:val="36"/>
          <w:szCs w:val="36"/>
          <w:highlight w:val="none"/>
          <w:lang w:eastAsia="zh-CN"/>
        </w:rPr>
      </w:pPr>
      <w:r>
        <w:rPr>
          <w:rFonts w:hint="eastAsia" w:ascii="仿宋_GB2312" w:hAnsi="宋体" w:eastAsia="仿宋_GB2312" w:cs="仿宋_GB2312"/>
          <w:kern w:val="0"/>
          <w:sz w:val="36"/>
          <w:szCs w:val="36"/>
          <w:highlight w:val="none"/>
          <w:lang w:eastAsia="zh-CN"/>
        </w:rPr>
        <w:t>保险公司应当将资产负债管理内容纳入年度培训计划，加大培训力度，确保相关人员具备必要的专业知识、经验和能力。</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宋体" w:eastAsia="仿宋_GB2312" w:cs="仿宋_GB2312"/>
          <w:kern w:val="0"/>
          <w:sz w:val="36"/>
          <w:szCs w:val="36"/>
          <w:highlight w:val="none"/>
        </w:rPr>
      </w:pPr>
      <w:r>
        <w:rPr>
          <w:rFonts w:hint="eastAsia" w:ascii="仿宋_GB2312" w:hAnsi="宋体" w:eastAsia="仿宋_GB2312" w:cs="仿宋_GB2312"/>
          <w:kern w:val="0"/>
          <w:sz w:val="36"/>
          <w:szCs w:val="36"/>
          <w:highlight w:val="none"/>
        </w:rPr>
        <w:t>第</w:t>
      </w:r>
      <w:r>
        <w:rPr>
          <w:rFonts w:hint="eastAsia" w:ascii="仿宋_GB2312" w:hAnsi="宋体" w:eastAsia="仿宋_GB2312" w:cs="仿宋_GB2312"/>
          <w:kern w:val="0"/>
          <w:sz w:val="36"/>
          <w:szCs w:val="36"/>
          <w:highlight w:val="none"/>
          <w:lang w:eastAsia="zh-CN"/>
        </w:rPr>
        <w:t>十三</w:t>
      </w:r>
      <w:r>
        <w:rPr>
          <w:rFonts w:hint="eastAsia" w:ascii="仿宋_GB2312" w:hAnsi="宋体" w:eastAsia="仿宋_GB2312" w:cs="仿宋_GB2312"/>
          <w:kern w:val="0"/>
          <w:sz w:val="36"/>
          <w:szCs w:val="36"/>
          <w:highlight w:val="none"/>
        </w:rPr>
        <w:t>条</w:t>
      </w:r>
      <w:r>
        <w:rPr>
          <w:rFonts w:hint="eastAsia" w:ascii="仿宋_GB2312" w:hAnsi="宋体" w:eastAsia="仿宋_GB2312" w:cs="仿宋_GB2312"/>
          <w:kern w:val="0"/>
          <w:sz w:val="36"/>
          <w:szCs w:val="36"/>
          <w:highlight w:val="none"/>
          <w:lang w:eastAsia="zh-CN"/>
        </w:rPr>
        <w:t>【</w:t>
      </w:r>
      <w:r>
        <w:rPr>
          <w:rFonts w:hint="eastAsia" w:ascii="仿宋_GB2312" w:hAnsi="宋体" w:eastAsia="仿宋_GB2312" w:cs="仿宋_GB2312"/>
          <w:kern w:val="0"/>
          <w:sz w:val="36"/>
          <w:szCs w:val="36"/>
          <w:highlight w:val="none"/>
        </w:rPr>
        <w:t>内部审计</w:t>
      </w:r>
      <w:r>
        <w:rPr>
          <w:rFonts w:hint="eastAsia" w:ascii="仿宋_GB2312" w:hAnsi="宋体" w:eastAsia="仿宋_GB2312" w:cs="仿宋_GB2312"/>
          <w:kern w:val="0"/>
          <w:sz w:val="36"/>
          <w:szCs w:val="36"/>
          <w:highlight w:val="none"/>
          <w:lang w:eastAsia="zh-CN"/>
        </w:rPr>
        <w:t>】</w:t>
      </w:r>
      <w:r>
        <w:rPr>
          <w:rFonts w:hint="eastAsia" w:ascii="仿宋_GB2312" w:hAnsi="宋体" w:eastAsia="仿宋_GB2312" w:cs="仿宋_GB2312"/>
          <w:kern w:val="0"/>
          <w:sz w:val="36"/>
          <w:szCs w:val="36"/>
          <w:highlight w:val="none"/>
        </w:rPr>
        <w:t xml:space="preserve"> 保险公司</w:t>
      </w:r>
      <w:r>
        <w:rPr>
          <w:rFonts w:hint="eastAsia" w:ascii="仿宋_GB2312" w:hAnsi="宋体" w:eastAsia="仿宋_GB2312" w:cs="仿宋_GB2312"/>
          <w:kern w:val="0"/>
          <w:sz w:val="36"/>
          <w:szCs w:val="36"/>
          <w:highlight w:val="none"/>
          <w:lang w:eastAsia="zh-CN"/>
        </w:rPr>
        <w:t>内部审计部门</w:t>
      </w:r>
      <w:r>
        <w:rPr>
          <w:rFonts w:hint="eastAsia" w:ascii="仿宋_GB2312" w:hAnsi="宋体" w:eastAsia="仿宋_GB2312" w:cs="仿宋_GB2312"/>
          <w:kern w:val="0"/>
          <w:sz w:val="36"/>
          <w:szCs w:val="36"/>
          <w:highlight w:val="none"/>
        </w:rPr>
        <w:t>应当</w:t>
      </w:r>
      <w:r>
        <w:rPr>
          <w:rFonts w:hint="eastAsia" w:ascii="仿宋_GB2312" w:hAnsi="宋体" w:eastAsia="仿宋_GB2312" w:cs="仿宋_GB2312"/>
          <w:kern w:val="0"/>
          <w:sz w:val="36"/>
          <w:szCs w:val="36"/>
          <w:highlight w:val="none"/>
          <w:lang w:eastAsia="zh-CN"/>
        </w:rPr>
        <w:t>至少每年</w:t>
      </w:r>
      <w:r>
        <w:rPr>
          <w:rFonts w:hint="eastAsia" w:ascii="仿宋_GB2312" w:hAnsi="宋体" w:eastAsia="仿宋_GB2312" w:cs="仿宋_GB2312"/>
          <w:kern w:val="0"/>
          <w:sz w:val="36"/>
          <w:szCs w:val="36"/>
          <w:highlight w:val="none"/>
        </w:rPr>
        <w:t>审查和评价</w:t>
      </w:r>
      <w:r>
        <w:rPr>
          <w:rFonts w:hint="eastAsia" w:ascii="仿宋_GB2312" w:hAnsi="宋体" w:eastAsia="仿宋_GB2312" w:cs="仿宋_GB2312"/>
          <w:kern w:val="0"/>
          <w:sz w:val="36"/>
          <w:szCs w:val="36"/>
          <w:highlight w:val="none"/>
          <w:lang w:eastAsia="zh-CN"/>
        </w:rPr>
        <w:t>一次</w:t>
      </w:r>
      <w:r>
        <w:rPr>
          <w:rFonts w:hint="eastAsia" w:ascii="仿宋_GB2312" w:hAnsi="宋体" w:eastAsia="仿宋_GB2312" w:cs="仿宋_GB2312"/>
          <w:kern w:val="0"/>
          <w:sz w:val="36"/>
          <w:szCs w:val="36"/>
          <w:highlight w:val="none"/>
        </w:rPr>
        <w:t>资产负债管理的充分性和有效性。</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宋体" w:eastAsia="仿宋_GB2312" w:cs="仿宋_GB2312"/>
          <w:kern w:val="0"/>
          <w:sz w:val="36"/>
          <w:szCs w:val="36"/>
          <w:highlight w:val="none"/>
        </w:rPr>
      </w:pPr>
      <w:r>
        <w:rPr>
          <w:rFonts w:hint="eastAsia" w:ascii="仿宋_GB2312" w:hAnsi="宋体" w:eastAsia="仿宋_GB2312" w:cs="仿宋_GB2312"/>
          <w:kern w:val="0"/>
          <w:sz w:val="36"/>
          <w:szCs w:val="36"/>
          <w:highlight w:val="none"/>
        </w:rPr>
        <w:t>资产负债管理内部审计报告应当提交董事会，董事会针对内部审计发现的问题，督促高级管理层及时采取整改措施，内部审计部门应当跟踪检查整改措施的实施情况。</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eastAsia="zh-CN"/>
        </w:rPr>
      </w:pPr>
      <w:r>
        <w:rPr>
          <w:rFonts w:hint="eastAsia" w:ascii="仿宋_GB2312" w:hAnsi="宋体" w:eastAsia="仿宋_GB2312" w:cs="仿宋_GB2312"/>
          <w:kern w:val="0"/>
          <w:sz w:val="36"/>
          <w:szCs w:val="36"/>
          <w:highlight w:val="none"/>
          <w:lang w:eastAsia="zh-CN"/>
        </w:rPr>
        <w:t>第十四条【信息系统建设】</w:t>
      </w:r>
      <w:r>
        <w:rPr>
          <w:rFonts w:hint="eastAsia" w:ascii="仿宋_GB2312" w:hAnsi="宋体" w:eastAsia="仿宋_GB2312" w:cs="仿宋_GB2312"/>
          <w:kern w:val="0"/>
          <w:sz w:val="36"/>
          <w:szCs w:val="36"/>
          <w:highlight w:val="none"/>
          <w:lang w:val="en-US" w:eastAsia="zh-CN"/>
        </w:rPr>
        <w:t xml:space="preserve"> </w:t>
      </w:r>
      <w:r>
        <w:rPr>
          <w:rFonts w:hint="eastAsia" w:ascii="仿宋_GB2312" w:hAnsi="微软雅黑" w:eastAsia="仿宋_GB2312" w:cs="宋体"/>
          <w:kern w:val="0"/>
          <w:sz w:val="36"/>
          <w:szCs w:val="36"/>
          <w:highlight w:val="none"/>
        </w:rPr>
        <w:t>保险公司应当</w:t>
      </w:r>
      <w:r>
        <w:rPr>
          <w:rFonts w:hint="eastAsia" w:ascii="仿宋_GB2312" w:hAnsi="微软雅黑" w:eastAsia="仿宋_GB2312" w:cs="宋体"/>
          <w:kern w:val="0"/>
          <w:sz w:val="36"/>
          <w:szCs w:val="36"/>
          <w:highlight w:val="none"/>
          <w:lang w:eastAsia="zh-CN"/>
        </w:rPr>
        <w:t>加强信息化建设，研究开发资产负债管理所需要的信息系统，具备保障信息系统有效安全运行的技术与措施，并对信息数据实行严格管理。</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p>
    <w:p>
      <w:pPr>
        <w:pStyle w:val="4"/>
        <w:widowControl/>
        <w:shd w:val="clear" w:color="auto" w:fill="FEFEFE"/>
        <w:adjustRightInd w:val="0"/>
        <w:snapToGrid w:val="0"/>
        <w:spacing w:beforeLines="0" w:afterLines="0" w:line="600" w:lineRule="exact"/>
        <w:ind w:right="119" w:firstLine="0" w:firstLineChars="0"/>
        <w:jc w:val="center"/>
        <w:rPr>
          <w:rFonts w:hint="eastAsia" w:ascii="宋体" w:hAnsi="宋体" w:eastAsia="宋体" w:cs="宋体"/>
          <w:kern w:val="0"/>
          <w:sz w:val="36"/>
          <w:szCs w:val="36"/>
          <w:highlight w:val="none"/>
          <w:lang w:eastAsia="zh-CN"/>
        </w:rPr>
      </w:pPr>
      <w:r>
        <w:rPr>
          <w:rFonts w:hint="eastAsia" w:ascii="宋体" w:hAnsi="宋体" w:eastAsia="宋体" w:cs="宋体"/>
          <w:kern w:val="0"/>
          <w:sz w:val="36"/>
          <w:szCs w:val="36"/>
          <w:highlight w:val="none"/>
        </w:rPr>
        <w:t>第二节 资产负债管理</w:t>
      </w:r>
      <w:r>
        <w:rPr>
          <w:rFonts w:hint="eastAsia" w:ascii="宋体" w:hAnsi="宋体" w:eastAsia="宋体" w:cs="宋体"/>
          <w:kern w:val="0"/>
          <w:sz w:val="36"/>
          <w:szCs w:val="36"/>
          <w:highlight w:val="none"/>
          <w:lang w:eastAsia="zh-CN"/>
        </w:rPr>
        <w:t>政策和程序</w:t>
      </w:r>
    </w:p>
    <w:p>
      <w:pPr>
        <w:widowControl/>
        <w:shd w:val="clear" w:color="auto" w:fill="FEFEFE"/>
        <w:adjustRightInd w:val="0"/>
        <w:snapToGrid w:val="0"/>
        <w:spacing w:beforeLines="0" w:afterLines="0" w:line="600" w:lineRule="exact"/>
        <w:ind w:right="119" w:firstLine="0" w:firstLineChars="0"/>
        <w:jc w:val="center"/>
        <w:rPr>
          <w:rFonts w:ascii="仿宋_GB2312" w:hAnsi="微软雅黑" w:eastAsia="仿宋_GB2312" w:cs="宋体"/>
          <w:kern w:val="0"/>
          <w:sz w:val="36"/>
          <w:szCs w:val="36"/>
          <w:highlight w:val="none"/>
        </w:rPr>
      </w:pPr>
    </w:p>
    <w:p>
      <w:pPr>
        <w:pStyle w:val="4"/>
        <w:widowControl/>
        <w:shd w:val="clear" w:color="auto" w:fill="FEFEFE"/>
        <w:adjustRightInd w:val="0"/>
        <w:snapToGrid w:val="0"/>
        <w:spacing w:beforeLines="0" w:afterLines="0" w:line="600" w:lineRule="exact"/>
        <w:ind w:right="119" w:firstLine="641" w:firstLineChars="0"/>
        <w:rPr>
          <w:rFonts w:hint="default"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val="en-US" w:eastAsia="zh-CN"/>
        </w:rPr>
        <w:t>第十五条【政策和程序】 保险公司应当根据</w:t>
      </w:r>
      <w:r>
        <w:rPr>
          <w:rFonts w:hint="eastAsia" w:ascii="仿宋_GB2312" w:eastAsia="仿宋_GB2312" w:cs="仿宋_GB2312"/>
          <w:kern w:val="2"/>
          <w:sz w:val="36"/>
          <w:szCs w:val="36"/>
          <w:highlight w:val="none"/>
          <w:lang w:eastAsia="zh-CN"/>
        </w:rPr>
        <w:t>公司</w:t>
      </w:r>
      <w:r>
        <w:rPr>
          <w:rFonts w:hint="eastAsia" w:ascii="仿宋_GB2312" w:eastAsia="仿宋_GB2312" w:cs="仿宋_GB2312"/>
          <w:kern w:val="2"/>
          <w:sz w:val="36"/>
          <w:szCs w:val="36"/>
          <w:highlight w:val="none"/>
        </w:rPr>
        <w:t>的业务性质、规模、复杂程度和风险特征</w:t>
      </w:r>
      <w:r>
        <w:rPr>
          <w:rFonts w:hint="eastAsia" w:ascii="仿宋_GB2312" w:eastAsia="仿宋_GB2312" w:cs="仿宋_GB2312"/>
          <w:kern w:val="2"/>
          <w:sz w:val="36"/>
          <w:szCs w:val="36"/>
          <w:highlight w:val="none"/>
          <w:lang w:eastAsia="zh-CN"/>
        </w:rPr>
        <w:t>，制定资产负债</w:t>
      </w:r>
      <w:r>
        <w:rPr>
          <w:rFonts w:hint="eastAsia" w:ascii="仿宋_GB2312" w:eastAsia="仿宋_GB2312" w:cs="仿宋_GB2312"/>
          <w:kern w:val="2"/>
          <w:sz w:val="36"/>
          <w:szCs w:val="36"/>
          <w:highlight w:val="none"/>
        </w:rPr>
        <w:t>管理政策和程序</w:t>
      </w:r>
      <w:r>
        <w:rPr>
          <w:rFonts w:hint="eastAsia" w:ascii="仿宋_GB2312" w:eastAsia="仿宋_GB2312" w:cs="仿宋_GB2312"/>
          <w:kern w:val="2"/>
          <w:sz w:val="36"/>
          <w:szCs w:val="36"/>
          <w:highlight w:val="none"/>
          <w:lang w:eastAsia="zh-CN"/>
        </w:rPr>
        <w:t>，主要内容包括</w:t>
      </w:r>
      <w:r>
        <w:rPr>
          <w:rFonts w:hint="eastAsia" w:ascii="仿宋_GB2312" w:hAnsi="宋体" w:eastAsia="仿宋_GB2312" w:cs="仿宋_GB2312"/>
          <w:kern w:val="0"/>
          <w:sz w:val="36"/>
          <w:szCs w:val="36"/>
          <w:highlight w:val="none"/>
        </w:rPr>
        <w:t>：</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val="en-US" w:eastAsia="zh-CN"/>
        </w:rPr>
        <w:t>（一）开展资产和负债分析，制定资产负债管理方案；</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val="en-US" w:eastAsia="zh-CN"/>
        </w:rPr>
        <w:t>（二）协调相关职能部门在业务规划、产品开发和定价、保险业务管理、资产配置政策、重大投资等方面加强资产负债联动管理；</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val="en-US" w:eastAsia="zh-CN"/>
        </w:rPr>
        <w:t>（三）进行资产负债管理压力测试和回溯分析；</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val="en-US" w:eastAsia="zh-CN"/>
        </w:rPr>
        <w:t>（四）定期编制和审议资产负债管理报告；</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val="en-US" w:eastAsia="zh-CN"/>
        </w:rPr>
        <w:t>（五）及时评估和调整资产负债管理方案。</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val="en-US" w:eastAsia="zh-CN"/>
        </w:rPr>
        <w:t>第十六条【资产和负债分析】</w:t>
      </w:r>
      <w:r>
        <w:rPr>
          <w:rFonts w:hint="eastAsia" w:ascii="仿宋_GB2312" w:hAnsi="宋体" w:eastAsia="仿宋_GB2312" w:cs="仿宋_GB2312"/>
          <w:kern w:val="0"/>
          <w:sz w:val="36"/>
          <w:szCs w:val="36"/>
          <w:highlight w:val="none"/>
          <w:lang w:eastAsia="zh-CN"/>
        </w:rPr>
        <w:t>保险公司</w:t>
      </w:r>
      <w:r>
        <w:rPr>
          <w:rFonts w:hint="eastAsia" w:ascii="仿宋_GB2312" w:hAnsi="宋体" w:eastAsia="仿宋_GB2312" w:cs="仿宋_GB2312"/>
          <w:kern w:val="0"/>
          <w:sz w:val="36"/>
          <w:szCs w:val="36"/>
          <w:highlight w:val="none"/>
        </w:rPr>
        <w:t>应当运用适当方法和模型，对在正常和压力情景下的</w:t>
      </w:r>
      <w:r>
        <w:rPr>
          <w:rFonts w:hint="eastAsia" w:ascii="仿宋_GB2312" w:hAnsi="宋体" w:eastAsia="仿宋_GB2312" w:cs="仿宋_GB2312"/>
          <w:kern w:val="0"/>
          <w:sz w:val="36"/>
          <w:szCs w:val="36"/>
          <w:highlight w:val="none"/>
          <w:lang w:eastAsia="zh-CN"/>
        </w:rPr>
        <w:t>资产负债期限结构、成本收益、流动性等指标</w:t>
      </w:r>
      <w:r>
        <w:rPr>
          <w:rFonts w:hint="eastAsia" w:ascii="仿宋_GB2312" w:hAnsi="宋体" w:eastAsia="仿宋_GB2312" w:cs="仿宋_GB2312"/>
          <w:kern w:val="0"/>
          <w:sz w:val="36"/>
          <w:szCs w:val="36"/>
          <w:highlight w:val="none"/>
        </w:rPr>
        <w:t>进行</w:t>
      </w:r>
      <w:r>
        <w:rPr>
          <w:rFonts w:hint="eastAsia" w:ascii="仿宋_GB2312" w:hAnsi="微软雅黑" w:eastAsia="仿宋_GB2312" w:cs="宋体"/>
          <w:kern w:val="0"/>
          <w:sz w:val="36"/>
          <w:szCs w:val="36"/>
          <w:highlight w:val="none"/>
          <w:lang w:val="en-US" w:eastAsia="zh-CN"/>
        </w:rPr>
        <w:t>测算与分析，设置指标预警值和风险限额，制定资产负债管理方案，控制和管理资产负债错配风险</w:t>
      </w:r>
      <w:r>
        <w:rPr>
          <w:rFonts w:hint="eastAsia" w:ascii="仿宋_GB2312" w:hAnsi="宋体" w:eastAsia="仿宋_GB2312" w:cs="仿宋_GB2312"/>
          <w:kern w:val="0"/>
          <w:sz w:val="36"/>
          <w:szCs w:val="36"/>
          <w:highlight w:val="none"/>
        </w:rPr>
        <w:t>。</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财产保险公司应当采用合理方法预测沉淀资金，建立沉淀资金管理评估机制。</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rPr>
        <w:t>人身保险公司应当合理确定预测假设，结合业务规划和</w:t>
      </w:r>
      <w:r>
        <w:rPr>
          <w:rFonts w:hint="eastAsia" w:ascii="仿宋_GB2312" w:hAnsi="微软雅黑" w:eastAsia="仿宋_GB2312" w:cs="宋体"/>
          <w:kern w:val="0"/>
          <w:sz w:val="36"/>
          <w:szCs w:val="36"/>
          <w:highlight w:val="none"/>
          <w:lang w:eastAsia="zh-CN"/>
        </w:rPr>
        <w:t>资产配置政策，</w:t>
      </w:r>
      <w:r>
        <w:rPr>
          <w:rFonts w:hint="eastAsia" w:ascii="仿宋_GB2312" w:hAnsi="微软雅黑" w:eastAsia="仿宋_GB2312" w:cs="宋体"/>
          <w:kern w:val="0"/>
          <w:sz w:val="36"/>
          <w:szCs w:val="36"/>
          <w:highlight w:val="none"/>
        </w:rPr>
        <w:t>分别预测资产现金流和负债现金流。</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第十</w:t>
      </w:r>
      <w:r>
        <w:rPr>
          <w:rFonts w:hint="eastAsia" w:ascii="仿宋_GB2312" w:hAnsi="微软雅黑" w:eastAsia="仿宋_GB2312" w:cs="宋体"/>
          <w:kern w:val="0"/>
          <w:sz w:val="36"/>
          <w:szCs w:val="36"/>
          <w:highlight w:val="none"/>
          <w:lang w:eastAsia="zh-CN"/>
        </w:rPr>
        <w:t>七</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业务规划和产品开发</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 xml:space="preserve"> 保险公司应当根据资产端形势变化和资产负债匹配要求，</w:t>
      </w:r>
      <w:r>
        <w:rPr>
          <w:rFonts w:hint="eastAsia" w:ascii="仿宋_GB2312" w:hAnsi="微软雅黑" w:eastAsia="仿宋_GB2312" w:cs="宋体"/>
          <w:kern w:val="0"/>
          <w:sz w:val="36"/>
          <w:szCs w:val="36"/>
          <w:highlight w:val="none"/>
          <w:lang w:eastAsia="zh-CN"/>
        </w:rPr>
        <w:t>合理</w:t>
      </w:r>
      <w:r>
        <w:rPr>
          <w:rFonts w:hint="eastAsia" w:ascii="仿宋_GB2312" w:hAnsi="微软雅黑" w:eastAsia="仿宋_GB2312" w:cs="宋体"/>
          <w:kern w:val="0"/>
          <w:sz w:val="36"/>
          <w:szCs w:val="36"/>
          <w:highlight w:val="none"/>
        </w:rPr>
        <w:t>制定</w:t>
      </w:r>
      <w:r>
        <w:rPr>
          <w:rFonts w:hint="eastAsia" w:ascii="仿宋_GB2312" w:hAnsi="微软雅黑" w:eastAsia="仿宋_GB2312" w:cs="宋体"/>
          <w:kern w:val="0"/>
          <w:sz w:val="36"/>
          <w:szCs w:val="36"/>
          <w:highlight w:val="none"/>
          <w:lang w:eastAsia="zh-CN"/>
        </w:rPr>
        <w:t>并及时调整</w:t>
      </w:r>
      <w:r>
        <w:rPr>
          <w:rFonts w:hint="eastAsia" w:ascii="仿宋_GB2312" w:hAnsi="微软雅黑" w:eastAsia="仿宋_GB2312" w:cs="宋体"/>
          <w:kern w:val="0"/>
          <w:sz w:val="36"/>
          <w:szCs w:val="36"/>
          <w:highlight w:val="none"/>
        </w:rPr>
        <w:t>业务规划和产品开发计划，优化产品</w:t>
      </w:r>
      <w:r>
        <w:rPr>
          <w:rFonts w:hint="eastAsia" w:ascii="仿宋_GB2312" w:hAnsi="微软雅黑" w:eastAsia="仿宋_GB2312" w:cs="宋体"/>
          <w:kern w:val="0"/>
          <w:sz w:val="36"/>
          <w:szCs w:val="36"/>
          <w:highlight w:val="none"/>
          <w:lang w:eastAsia="zh-CN"/>
        </w:rPr>
        <w:t>业务</w:t>
      </w:r>
      <w:r>
        <w:rPr>
          <w:rFonts w:hint="eastAsia" w:ascii="仿宋_GB2312" w:hAnsi="微软雅黑" w:eastAsia="仿宋_GB2312" w:cs="宋体"/>
          <w:kern w:val="0"/>
          <w:sz w:val="36"/>
          <w:szCs w:val="36"/>
          <w:highlight w:val="none"/>
        </w:rPr>
        <w:t>结构。</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保险公司应当加强对公司资产负债匹配状况造成重大影响的产品的管理，明确认定标准，研究分析产品对应的投资策略，以及对公司偿付能力和资产负债匹配状况的影响。</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第十</w:t>
      </w:r>
      <w:r>
        <w:rPr>
          <w:rFonts w:hint="eastAsia" w:ascii="仿宋_GB2312" w:hAnsi="微软雅黑" w:eastAsia="仿宋_GB2312" w:cs="宋体"/>
          <w:kern w:val="0"/>
          <w:sz w:val="36"/>
          <w:szCs w:val="36"/>
          <w:highlight w:val="none"/>
          <w:lang w:eastAsia="zh-CN"/>
        </w:rPr>
        <w:t>八</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产品定价管理</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财产保险公司应当</w:t>
      </w:r>
      <w:r>
        <w:rPr>
          <w:rFonts w:hint="eastAsia" w:ascii="仿宋_GB2312" w:hAnsi="微软雅黑" w:eastAsia="仿宋_GB2312" w:cs="宋体"/>
          <w:kern w:val="0"/>
          <w:sz w:val="36"/>
          <w:szCs w:val="36"/>
          <w:highlight w:val="none"/>
          <w:lang w:bidi="ar"/>
        </w:rPr>
        <w:t>优化产品定价模型、方法和工具，加强产品定价管理</w:t>
      </w:r>
      <w:r>
        <w:rPr>
          <w:rFonts w:hint="eastAsia" w:ascii="仿宋_GB2312" w:hAnsi="微软雅黑" w:eastAsia="仿宋_GB2312" w:cs="宋体"/>
          <w:kern w:val="0"/>
          <w:sz w:val="36"/>
          <w:szCs w:val="36"/>
          <w:highlight w:val="none"/>
        </w:rPr>
        <w:t>。</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人身保险公司应当</w:t>
      </w:r>
      <w:r>
        <w:rPr>
          <w:rFonts w:hint="eastAsia" w:ascii="仿宋_GB2312" w:hAnsi="微软雅黑" w:eastAsia="仿宋_GB2312" w:cs="宋体"/>
          <w:kern w:val="0"/>
          <w:sz w:val="36"/>
          <w:szCs w:val="36"/>
          <w:highlight w:val="none"/>
          <w:lang w:eastAsia="zh-CN"/>
        </w:rPr>
        <w:t>按照行业</w:t>
      </w:r>
      <w:r>
        <w:rPr>
          <w:rFonts w:hint="eastAsia" w:ascii="仿宋_GB2312" w:hAnsi="微软雅黑" w:eastAsia="仿宋_GB2312" w:cs="宋体"/>
          <w:kern w:val="0"/>
          <w:sz w:val="36"/>
          <w:szCs w:val="36"/>
          <w:highlight w:val="none"/>
        </w:rPr>
        <w:t>预定利率与市场利率挂钩及动态调整机制，做好负债成本动态评估和监控</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在制定保险产品分红和万能结算政策时，应当评估其对资产负债匹配状况特别是成本收益匹配的影响。</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第十</w:t>
      </w:r>
      <w:r>
        <w:rPr>
          <w:rFonts w:hint="eastAsia" w:ascii="仿宋_GB2312" w:hAnsi="微软雅黑" w:eastAsia="仿宋_GB2312" w:cs="宋体"/>
          <w:kern w:val="0"/>
          <w:sz w:val="36"/>
          <w:szCs w:val="36"/>
          <w:highlight w:val="none"/>
          <w:lang w:eastAsia="zh-CN"/>
        </w:rPr>
        <w:t>九</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【保险业务</w:t>
      </w:r>
      <w:r>
        <w:rPr>
          <w:rFonts w:hint="eastAsia" w:ascii="仿宋_GB2312" w:hAnsi="微软雅黑" w:eastAsia="仿宋_GB2312" w:cs="宋体"/>
          <w:kern w:val="0"/>
          <w:sz w:val="36"/>
          <w:szCs w:val="36"/>
          <w:highlight w:val="none"/>
        </w:rPr>
        <w:t>管理</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 xml:space="preserve"> 保险公司应当管理</w:t>
      </w:r>
      <w:r>
        <w:rPr>
          <w:rFonts w:hint="eastAsia" w:ascii="仿宋_GB2312" w:hAnsi="微软雅黑" w:eastAsia="仿宋_GB2312" w:cs="宋体"/>
          <w:kern w:val="0"/>
          <w:sz w:val="36"/>
          <w:szCs w:val="36"/>
          <w:highlight w:val="none"/>
          <w:lang w:eastAsia="zh-CN"/>
        </w:rPr>
        <w:t>和</w:t>
      </w:r>
      <w:r>
        <w:rPr>
          <w:rFonts w:hint="eastAsia" w:ascii="仿宋_GB2312" w:hAnsi="微软雅黑" w:eastAsia="仿宋_GB2312" w:cs="宋体"/>
          <w:kern w:val="0"/>
          <w:sz w:val="36"/>
          <w:szCs w:val="36"/>
          <w:highlight w:val="none"/>
        </w:rPr>
        <w:t>评估产品结构、销售渠道</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费用政策发生重大变化</w:t>
      </w:r>
      <w:r>
        <w:rPr>
          <w:rFonts w:hint="eastAsia" w:ascii="仿宋_GB2312" w:hAnsi="微软雅黑" w:eastAsia="仿宋_GB2312" w:cs="宋体"/>
          <w:kern w:val="0"/>
          <w:sz w:val="36"/>
          <w:szCs w:val="36"/>
          <w:highlight w:val="none"/>
          <w:lang w:eastAsia="zh-CN"/>
        </w:rPr>
        <w:t>，以及退保、赔付等与预期发生较大偏差</w:t>
      </w:r>
      <w:r>
        <w:rPr>
          <w:rFonts w:hint="eastAsia" w:ascii="仿宋_GB2312" w:hAnsi="微软雅黑" w:eastAsia="仿宋_GB2312" w:cs="宋体"/>
          <w:kern w:val="0"/>
          <w:sz w:val="36"/>
          <w:szCs w:val="36"/>
          <w:highlight w:val="none"/>
        </w:rPr>
        <w:t>对公司资产负债匹配状况的影响。</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保险公司</w:t>
      </w:r>
      <w:r>
        <w:rPr>
          <w:rFonts w:hint="eastAsia" w:ascii="仿宋_GB2312" w:hAnsi="微软雅黑" w:eastAsia="仿宋_GB2312" w:cs="宋体"/>
          <w:kern w:val="0"/>
          <w:sz w:val="36"/>
          <w:szCs w:val="36"/>
          <w:highlight w:val="none"/>
        </w:rPr>
        <w:t>在确定再保险安排时，应当测算巨灾等重大保险事件引发的集中赔付、再保交易对手违约、再保摊回不及时等导致的流动性风险。</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二十</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资产配置政策</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 xml:space="preserve"> 保险公司应当</w:t>
      </w:r>
      <w:r>
        <w:rPr>
          <w:rFonts w:hint="eastAsia" w:ascii="仿宋_GB2312" w:hAnsi="微软雅黑" w:eastAsia="仿宋_GB2312" w:cs="宋体"/>
          <w:kern w:val="0"/>
          <w:sz w:val="36"/>
          <w:szCs w:val="36"/>
          <w:highlight w:val="none"/>
          <w:lang w:val="en-US" w:eastAsia="zh-CN"/>
        </w:rPr>
        <w:t>根据保险业务负债特性，</w:t>
      </w:r>
      <w:r>
        <w:rPr>
          <w:rFonts w:hint="eastAsia" w:ascii="仿宋_GB2312" w:eastAsia="仿宋_GB2312"/>
          <w:sz w:val="36"/>
          <w:szCs w:val="36"/>
          <w:highlight w:val="none"/>
          <w:lang w:eastAsia="zh-CN"/>
        </w:rPr>
        <w:t>综合</w:t>
      </w:r>
      <w:r>
        <w:rPr>
          <w:rFonts w:hint="eastAsia" w:ascii="仿宋_GB2312" w:eastAsia="仿宋_GB2312"/>
          <w:sz w:val="36"/>
          <w:szCs w:val="36"/>
          <w:highlight w:val="none"/>
        </w:rPr>
        <w:t>考虑</w:t>
      </w:r>
      <w:r>
        <w:rPr>
          <w:rFonts w:hint="eastAsia" w:ascii="仿宋_GB2312" w:eastAsia="仿宋_GB2312"/>
          <w:sz w:val="36"/>
          <w:szCs w:val="36"/>
          <w:highlight w:val="none"/>
          <w:lang w:eastAsia="zh-CN"/>
        </w:rPr>
        <w:t>公司</w:t>
      </w:r>
      <w:r>
        <w:rPr>
          <w:rFonts w:hint="eastAsia" w:ascii="仿宋_GB2312" w:eastAsia="仿宋_GB2312"/>
          <w:sz w:val="36"/>
          <w:szCs w:val="36"/>
          <w:highlight w:val="none"/>
        </w:rPr>
        <w:t>风险偏好和</w:t>
      </w:r>
      <w:r>
        <w:rPr>
          <w:rFonts w:hint="eastAsia" w:ascii="仿宋_GB2312" w:eastAsia="仿宋_GB2312"/>
          <w:sz w:val="36"/>
          <w:szCs w:val="36"/>
          <w:highlight w:val="none"/>
          <w:lang w:val="en-US" w:eastAsia="zh-CN"/>
        </w:rPr>
        <w:t>风险</w:t>
      </w:r>
      <w:r>
        <w:rPr>
          <w:rFonts w:hint="eastAsia" w:ascii="仿宋_GB2312" w:eastAsia="仿宋_GB2312"/>
          <w:sz w:val="36"/>
          <w:szCs w:val="36"/>
          <w:highlight w:val="none"/>
        </w:rPr>
        <w:t>限额、资产负债匹配要求、长期</w:t>
      </w:r>
      <w:r>
        <w:rPr>
          <w:rFonts w:hint="eastAsia" w:ascii="仿宋_GB2312" w:eastAsia="仿宋_GB2312"/>
          <w:sz w:val="36"/>
          <w:szCs w:val="36"/>
          <w:highlight w:val="none"/>
          <w:lang w:val="en-US" w:eastAsia="zh-CN"/>
        </w:rPr>
        <w:t>预期收益</w:t>
      </w:r>
      <w:r>
        <w:rPr>
          <w:rFonts w:hint="eastAsia" w:ascii="仿宋_GB2312" w:eastAsia="仿宋_GB2312"/>
          <w:sz w:val="36"/>
          <w:szCs w:val="36"/>
          <w:highlight w:val="none"/>
        </w:rPr>
        <w:t>和偿付能力管理</w:t>
      </w:r>
      <w:r>
        <w:rPr>
          <w:rFonts w:hint="eastAsia" w:ascii="仿宋_GB2312" w:eastAsia="仿宋_GB2312"/>
          <w:sz w:val="36"/>
          <w:szCs w:val="36"/>
          <w:highlight w:val="none"/>
          <w:lang w:eastAsia="zh-CN"/>
        </w:rPr>
        <w:t>等</w:t>
      </w:r>
      <w:r>
        <w:rPr>
          <w:rFonts w:hint="eastAsia" w:ascii="仿宋_GB2312" w:eastAsia="仿宋_GB2312"/>
          <w:sz w:val="36"/>
          <w:szCs w:val="36"/>
          <w:highlight w:val="none"/>
        </w:rPr>
        <w:t>目标，</w:t>
      </w:r>
      <w:r>
        <w:rPr>
          <w:rFonts w:hint="eastAsia" w:ascii="仿宋_GB2312" w:hAnsi="微软雅黑" w:eastAsia="仿宋_GB2312" w:cs="宋体"/>
          <w:kern w:val="0"/>
          <w:sz w:val="36"/>
          <w:szCs w:val="36"/>
          <w:highlight w:val="none"/>
        </w:rPr>
        <w:t>确定各类账户预期收益目标和风险指标，制定、实施和调整资产配置政策。</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保险公司应当确定履行资产配置风险管理与合规</w:t>
      </w:r>
      <w:r>
        <w:rPr>
          <w:rFonts w:hint="eastAsia" w:ascii="仿宋_GB2312" w:hAnsi="微软雅黑" w:eastAsia="仿宋_GB2312" w:cs="宋体"/>
          <w:kern w:val="0"/>
          <w:sz w:val="36"/>
          <w:szCs w:val="36"/>
          <w:highlight w:val="none"/>
          <w:lang w:eastAsia="zh-CN"/>
        </w:rPr>
        <w:t>职责</w:t>
      </w:r>
      <w:r>
        <w:rPr>
          <w:rFonts w:hint="eastAsia" w:ascii="仿宋_GB2312" w:hAnsi="微软雅黑" w:eastAsia="仿宋_GB2312" w:cs="宋体"/>
          <w:kern w:val="0"/>
          <w:sz w:val="36"/>
          <w:szCs w:val="36"/>
          <w:highlight w:val="none"/>
        </w:rPr>
        <w:t>的专业人员，使之独立于资产配置政策的执行人员。</w:t>
      </w:r>
    </w:p>
    <w:p>
      <w:pPr>
        <w:pStyle w:val="4"/>
        <w:widowControl/>
        <w:shd w:val="clear" w:color="auto" w:fill="FEFEFE"/>
        <w:adjustRightInd w:val="0"/>
        <w:snapToGrid w:val="0"/>
        <w:spacing w:beforeLines="0" w:afterLines="0" w:line="600" w:lineRule="exact"/>
        <w:ind w:right="119" w:firstLine="640"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二十一</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重大投资</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 xml:space="preserve"> 保险公司在进行重大投资决策前，应当综合偿付能力约束、风险偏好、市场环境、监管要求等因素，评估分析投资活动对公司以及相应账户资产负债匹配状况的影响。</w:t>
      </w:r>
    </w:p>
    <w:p>
      <w:pPr>
        <w:pStyle w:val="4"/>
        <w:widowControl/>
        <w:numPr>
          <w:ilvl w:val="255"/>
          <w:numId w:val="0"/>
        </w:numPr>
        <w:shd w:val="clear" w:color="auto" w:fill="FEFEFE"/>
        <w:adjustRightInd w:val="0"/>
        <w:snapToGrid w:val="0"/>
        <w:spacing w:beforeLines="0" w:afterLines="0" w:line="600" w:lineRule="exact"/>
        <w:ind w:right="119" w:firstLine="720" w:firstLineChars="20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本办法所称</w:t>
      </w:r>
      <w:r>
        <w:rPr>
          <w:rFonts w:hint="eastAsia" w:ascii="仿宋_GB2312" w:hAnsi="微软雅黑" w:eastAsia="仿宋_GB2312" w:cs="宋体"/>
          <w:kern w:val="0"/>
          <w:sz w:val="36"/>
          <w:szCs w:val="36"/>
          <w:highlight w:val="none"/>
        </w:rPr>
        <w:t>重大投资包括单一重大股权投资、单一重大股票投资或上市公司收购、以物权或项目公司股权形式持有的单一投资性不动产，</w:t>
      </w:r>
      <w:r>
        <w:rPr>
          <w:rFonts w:hint="eastAsia" w:ascii="仿宋_GB2312" w:hAnsi="微软雅黑" w:eastAsia="仿宋_GB2312" w:cs="宋体"/>
          <w:kern w:val="0"/>
          <w:sz w:val="36"/>
          <w:szCs w:val="36"/>
          <w:highlight w:val="none"/>
          <w:lang w:eastAsia="zh-CN"/>
        </w:rPr>
        <w:t>或</w:t>
      </w:r>
      <w:r>
        <w:rPr>
          <w:rFonts w:hint="eastAsia" w:ascii="仿宋_GB2312" w:hAnsi="微软雅黑" w:eastAsia="仿宋_GB2312" w:cs="宋体"/>
          <w:kern w:val="0"/>
          <w:sz w:val="36"/>
          <w:szCs w:val="36"/>
          <w:highlight w:val="none"/>
        </w:rPr>
        <w:t>对单一标的资产累计投资金额高于公司上一季度末总资产3%或30亿元</w:t>
      </w:r>
      <w:r>
        <w:rPr>
          <w:rFonts w:hint="eastAsia" w:ascii="仿宋_GB2312" w:hAnsi="微软雅黑" w:eastAsia="仿宋_GB2312" w:cs="宋体"/>
          <w:kern w:val="0"/>
          <w:sz w:val="36"/>
          <w:szCs w:val="36"/>
          <w:highlight w:val="none"/>
          <w:lang w:eastAsia="zh-CN"/>
        </w:rPr>
        <w:t>人民币（或等值外币）</w:t>
      </w:r>
      <w:r>
        <w:rPr>
          <w:rFonts w:hint="eastAsia" w:ascii="仿宋_GB2312" w:hAnsi="微软雅黑" w:eastAsia="仿宋_GB2312" w:cs="宋体"/>
          <w:kern w:val="0"/>
          <w:sz w:val="36"/>
          <w:szCs w:val="36"/>
          <w:highlight w:val="none"/>
        </w:rPr>
        <w:t>的投资，投资境内中央政府债券、省级政府债券、准政府债券、政策性金融债以及银行存款、现金及流动性管理工具除外。</w:t>
      </w:r>
    </w:p>
    <w:p>
      <w:pPr>
        <w:pStyle w:val="4"/>
        <w:widowControl/>
        <w:numPr>
          <w:ilvl w:val="255"/>
          <w:numId w:val="0"/>
        </w:numPr>
        <w:shd w:val="clear" w:color="auto" w:fill="FEFEFE"/>
        <w:adjustRightInd w:val="0"/>
        <w:snapToGrid w:val="0"/>
        <w:spacing w:beforeLines="0" w:afterLines="0" w:line="600" w:lineRule="exact"/>
        <w:ind w:right="119" w:firstLine="720" w:firstLineChars="200"/>
        <w:rPr>
          <w:rFonts w:hint="default"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eastAsia="zh-CN"/>
        </w:rPr>
        <w:t>第二十二条【委托投资】</w:t>
      </w:r>
      <w:r>
        <w:rPr>
          <w:rFonts w:hint="eastAsia" w:ascii="仿宋_GB2312" w:hAnsi="微软雅黑" w:eastAsia="仿宋_GB2312" w:cs="宋体"/>
          <w:kern w:val="0"/>
          <w:sz w:val="36"/>
          <w:szCs w:val="36"/>
          <w:highlight w:val="none"/>
          <w:lang w:val="en-US" w:eastAsia="zh-CN"/>
        </w:rPr>
        <w:t xml:space="preserve"> 保险公司委托保险资产管理公司作为受托人进行投资的，应当加强与受托人之间的信息共享，向受托人提供可能影响其投资决策的负债信息，包括委托投资账户的负债成本、久期、现金流及其结构分布和预期变化等，受托人应当向保险公司提供资产配置政策执行情况等信息，并配合保险公司开展资产负债匹配指标测算与分析工作。</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二十三</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压力测试</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lang w:val="en-US" w:eastAsia="zh-CN"/>
        </w:rPr>
        <w:t xml:space="preserve"> </w:t>
      </w:r>
      <w:r>
        <w:rPr>
          <w:rFonts w:hint="eastAsia" w:ascii="仿宋_GB2312" w:hAnsi="微软雅黑" w:eastAsia="仿宋_GB2312" w:cs="宋体"/>
          <w:kern w:val="0"/>
          <w:sz w:val="36"/>
          <w:szCs w:val="36"/>
          <w:highlight w:val="none"/>
        </w:rPr>
        <w:t>保险公司应当定期开展压力测试，分析潜在风险因素对资产和负债的期限结构、成本收益以及流动性的影响，并采取相应预防措施。压力测试应当符合以下要求：</w:t>
      </w:r>
    </w:p>
    <w:p>
      <w:pPr>
        <w:pStyle w:val="4"/>
        <w:widowControl/>
        <w:numPr>
          <w:ilvl w:val="255"/>
          <w:numId w:val="0"/>
        </w:numPr>
        <w:shd w:val="clear" w:color="auto" w:fill="FEFEFE"/>
        <w:adjustRightInd w:val="0"/>
        <w:snapToGrid w:val="0"/>
        <w:spacing w:beforeLines="0" w:afterLines="0" w:line="600" w:lineRule="exact"/>
        <w:ind w:right="119" w:firstLine="64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一</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压力测试情景应当涵盖资产端的风险因素、负债端的风险因素、宏观经济和环境因素等；</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二</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合理审慎设定压力情景</w:t>
      </w:r>
      <w:r>
        <w:rPr>
          <w:rFonts w:hint="eastAsia" w:ascii="仿宋_GB2312" w:hAnsi="微软雅黑" w:eastAsia="仿宋_GB2312" w:cs="宋体"/>
          <w:kern w:val="0"/>
          <w:sz w:val="36"/>
          <w:szCs w:val="36"/>
          <w:highlight w:val="none"/>
          <w:lang w:eastAsia="zh-CN"/>
        </w:rPr>
        <w:t>及其测试期限</w:t>
      </w:r>
      <w:r>
        <w:rPr>
          <w:rFonts w:hint="eastAsia" w:ascii="仿宋_GB2312" w:hAnsi="微软雅黑" w:eastAsia="仿宋_GB2312" w:cs="宋体"/>
          <w:kern w:val="0"/>
          <w:sz w:val="36"/>
          <w:szCs w:val="36"/>
          <w:highlight w:val="none"/>
        </w:rPr>
        <w:t>，充分考虑影响保险公司资产和负债的期限结构、成本收益以及流动性的特定冲击、影响整个市场的系统性冲击和两者相结合的情景，以及轻度、中度、严重等不同压力程度；</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lang w:eastAsia="zh-CN"/>
        </w:rPr>
      </w:pPr>
      <w:r>
        <w:rPr>
          <w:rFonts w:hint="eastAsia" w:ascii="仿宋_GB2312" w:hAnsi="微软雅黑" w:eastAsia="仿宋_GB2312" w:cs="宋体"/>
          <w:kern w:val="0"/>
          <w:sz w:val="36"/>
          <w:szCs w:val="36"/>
          <w:highlight w:val="none"/>
          <w:lang w:eastAsia="zh-CN"/>
        </w:rPr>
        <w:t>（三）</w:t>
      </w:r>
      <w:r>
        <w:rPr>
          <w:rFonts w:hint="eastAsia" w:ascii="仿宋_GB2312" w:hAnsi="微软雅黑" w:eastAsia="仿宋_GB2312" w:cs="宋体"/>
          <w:kern w:val="0"/>
          <w:sz w:val="36"/>
          <w:szCs w:val="36"/>
          <w:highlight w:val="none"/>
        </w:rPr>
        <w:t>考虑各类风险的内在关联性和市场</w:t>
      </w:r>
      <w:r>
        <w:rPr>
          <w:rFonts w:hint="eastAsia" w:ascii="仿宋_GB2312" w:hAnsi="微软雅黑" w:eastAsia="仿宋_GB2312" w:cs="宋体"/>
          <w:kern w:val="0"/>
          <w:sz w:val="36"/>
          <w:szCs w:val="36"/>
          <w:highlight w:val="none"/>
          <w:lang w:eastAsia="zh-CN"/>
        </w:rPr>
        <w:t>波动性</w:t>
      </w:r>
      <w:r>
        <w:rPr>
          <w:rFonts w:hint="eastAsia" w:ascii="仿宋_GB2312" w:hAnsi="微软雅黑" w:eastAsia="仿宋_GB2312" w:cs="宋体"/>
          <w:kern w:val="0"/>
          <w:sz w:val="36"/>
          <w:szCs w:val="36"/>
          <w:highlight w:val="none"/>
        </w:rPr>
        <w:t>对保险公司风险的影响</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结合公司实际情况，实施敏感性测试、情景测试和反向压力测试</w:t>
      </w:r>
      <w:r>
        <w:rPr>
          <w:rFonts w:hint="eastAsia" w:ascii="仿宋_GB2312" w:hAnsi="微软雅黑" w:eastAsia="仿宋_GB2312" w:cs="宋体"/>
          <w:kern w:val="0"/>
          <w:sz w:val="36"/>
          <w:szCs w:val="36"/>
          <w:highlight w:val="none"/>
          <w:lang w:eastAsia="zh-CN"/>
        </w:rPr>
        <w:t>；</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（四）</w:t>
      </w:r>
      <w:r>
        <w:rPr>
          <w:rFonts w:hint="eastAsia" w:ascii="仿宋_GB2312" w:hAnsi="微软雅黑" w:eastAsia="仿宋_GB2312" w:cs="宋体"/>
          <w:kern w:val="0"/>
          <w:sz w:val="36"/>
          <w:szCs w:val="36"/>
          <w:highlight w:val="none"/>
        </w:rPr>
        <w:t>在确定公司风险偏好</w:t>
      </w:r>
      <w:r>
        <w:rPr>
          <w:rFonts w:hint="eastAsia" w:ascii="仿宋_GB2312" w:hAnsi="微软雅黑" w:eastAsia="仿宋_GB2312" w:cs="宋体"/>
          <w:kern w:val="0"/>
          <w:sz w:val="36"/>
          <w:szCs w:val="36"/>
          <w:highlight w:val="none"/>
          <w:lang w:eastAsia="zh-CN"/>
        </w:rPr>
        <w:t>以</w:t>
      </w:r>
      <w:r>
        <w:rPr>
          <w:rFonts w:hint="eastAsia" w:ascii="仿宋_GB2312" w:hAnsi="微软雅黑" w:eastAsia="仿宋_GB2312" w:cs="宋体"/>
          <w:kern w:val="0"/>
          <w:sz w:val="36"/>
          <w:szCs w:val="36"/>
          <w:highlight w:val="none"/>
        </w:rPr>
        <w:t>及制定</w:t>
      </w:r>
      <w:r>
        <w:rPr>
          <w:rFonts w:hint="eastAsia" w:ascii="仿宋_GB2312" w:hAnsi="微软雅黑" w:eastAsia="仿宋_GB2312" w:cs="宋体"/>
          <w:kern w:val="0"/>
          <w:sz w:val="36"/>
          <w:szCs w:val="36"/>
          <w:highlight w:val="none"/>
          <w:lang w:eastAsia="zh-CN"/>
        </w:rPr>
        <w:t>业务规划和资产配置政策</w:t>
      </w:r>
      <w:r>
        <w:rPr>
          <w:rFonts w:hint="eastAsia" w:ascii="仿宋_GB2312" w:hAnsi="微软雅黑" w:eastAsia="仿宋_GB2312" w:cs="宋体"/>
          <w:kern w:val="0"/>
          <w:sz w:val="36"/>
          <w:szCs w:val="36"/>
          <w:highlight w:val="none"/>
        </w:rPr>
        <w:t>时，充分考虑压力测试结果，必要时根据压力测试结果对上述内容进行调整。</w:t>
      </w:r>
    </w:p>
    <w:p>
      <w:pPr>
        <w:pStyle w:val="4"/>
        <w:widowControl/>
        <w:shd w:val="clear" w:color="auto" w:fill="FEFEFE"/>
        <w:adjustRightInd w:val="0"/>
        <w:snapToGrid w:val="0"/>
        <w:spacing w:beforeLines="0" w:afterLines="0" w:line="600" w:lineRule="exact"/>
        <w:ind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二十四</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回溯分析</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 xml:space="preserve"> 保险公司应当建立资产负债管理回溯机制，每年开展回溯分析，</w:t>
      </w:r>
      <w:r>
        <w:rPr>
          <w:rFonts w:hint="eastAsia" w:ascii="仿宋_GB2312" w:hAnsi="微软雅黑" w:eastAsia="仿宋_GB2312" w:cs="宋体"/>
          <w:kern w:val="0"/>
          <w:sz w:val="36"/>
          <w:szCs w:val="36"/>
          <w:highlight w:val="none"/>
          <w:lang w:eastAsia="zh-CN"/>
        </w:rPr>
        <w:t>并对重大偏差研究采取改进措施。回溯分析</w:t>
      </w:r>
      <w:r>
        <w:rPr>
          <w:rFonts w:hint="eastAsia" w:ascii="仿宋_GB2312" w:hAnsi="微软雅黑" w:eastAsia="仿宋_GB2312" w:cs="宋体"/>
          <w:kern w:val="0"/>
          <w:sz w:val="36"/>
          <w:szCs w:val="36"/>
          <w:highlight w:val="none"/>
        </w:rPr>
        <w:t>至少包括</w:t>
      </w:r>
      <w:r>
        <w:rPr>
          <w:rFonts w:hint="eastAsia" w:ascii="仿宋_GB2312" w:hAnsi="微软雅黑" w:eastAsia="仿宋_GB2312" w:cs="宋体"/>
          <w:kern w:val="0"/>
          <w:sz w:val="36"/>
          <w:szCs w:val="36"/>
          <w:highlight w:val="none"/>
          <w:lang w:eastAsia="zh-CN"/>
        </w:rPr>
        <w:t>以下</w:t>
      </w:r>
      <w:r>
        <w:rPr>
          <w:rFonts w:hint="eastAsia" w:ascii="仿宋_GB2312" w:hAnsi="微软雅黑" w:eastAsia="仿宋_GB2312" w:cs="宋体"/>
          <w:kern w:val="0"/>
          <w:sz w:val="36"/>
          <w:szCs w:val="36"/>
          <w:highlight w:val="none"/>
        </w:rPr>
        <w:t>内容：</w:t>
      </w:r>
    </w:p>
    <w:p>
      <w:pPr>
        <w:pStyle w:val="4"/>
        <w:widowControl/>
        <w:numPr>
          <w:ilvl w:val="255"/>
          <w:numId w:val="0"/>
        </w:numPr>
        <w:shd w:val="clear" w:color="auto" w:fill="FEFEFE"/>
        <w:adjustRightInd w:val="0"/>
        <w:snapToGrid w:val="0"/>
        <w:spacing w:beforeLines="0" w:afterLines="0" w:line="600" w:lineRule="exact"/>
        <w:ind w:right="119" w:firstLine="64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一</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分</w:t>
      </w:r>
      <w:r>
        <w:rPr>
          <w:rFonts w:hint="eastAsia" w:ascii="仿宋_GB2312" w:hAnsi="微软雅黑" w:eastAsia="仿宋_GB2312" w:cs="宋体"/>
          <w:kern w:val="0"/>
          <w:sz w:val="36"/>
          <w:szCs w:val="36"/>
          <w:highlight w:val="none"/>
          <w:lang w:eastAsia="zh-CN"/>
        </w:rPr>
        <w:t>大类</w:t>
      </w:r>
      <w:r>
        <w:rPr>
          <w:rFonts w:hint="eastAsia" w:ascii="仿宋_GB2312" w:hAnsi="微软雅黑" w:eastAsia="仿宋_GB2312" w:cs="宋体"/>
          <w:kern w:val="0"/>
          <w:sz w:val="36"/>
          <w:szCs w:val="36"/>
          <w:highlight w:val="none"/>
        </w:rPr>
        <w:t>账户的预期保费收入与实际保费收入的偏差；</w:t>
      </w:r>
    </w:p>
    <w:p>
      <w:pPr>
        <w:pStyle w:val="4"/>
        <w:widowControl/>
        <w:numPr>
          <w:ilvl w:val="255"/>
          <w:numId w:val="0"/>
        </w:numPr>
        <w:shd w:val="clear" w:color="auto" w:fill="FEFEFE"/>
        <w:adjustRightInd w:val="0"/>
        <w:snapToGrid w:val="0"/>
        <w:spacing w:beforeLines="0" w:afterLines="0" w:line="600" w:lineRule="exact"/>
        <w:ind w:right="119" w:firstLine="64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二</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大类资产长期收益率假设与实际大类资产长期收益率的偏差，分</w:t>
      </w:r>
      <w:r>
        <w:rPr>
          <w:rFonts w:hint="eastAsia" w:ascii="仿宋_GB2312" w:hAnsi="微软雅黑" w:eastAsia="仿宋_GB2312" w:cs="宋体"/>
          <w:kern w:val="0"/>
          <w:sz w:val="36"/>
          <w:szCs w:val="36"/>
          <w:highlight w:val="none"/>
          <w:lang w:eastAsia="zh-CN"/>
        </w:rPr>
        <w:t>大类</w:t>
      </w:r>
      <w:r>
        <w:rPr>
          <w:rFonts w:hint="eastAsia" w:ascii="仿宋_GB2312" w:hAnsi="微软雅黑" w:eastAsia="仿宋_GB2312" w:cs="宋体"/>
          <w:kern w:val="0"/>
          <w:sz w:val="36"/>
          <w:szCs w:val="36"/>
          <w:highlight w:val="none"/>
        </w:rPr>
        <w:t>账户的预期资产配置比例与实际资产配置比例的偏差，分</w:t>
      </w:r>
      <w:r>
        <w:rPr>
          <w:rFonts w:hint="eastAsia" w:ascii="仿宋_GB2312" w:hAnsi="微软雅黑" w:eastAsia="仿宋_GB2312" w:cs="宋体"/>
          <w:kern w:val="0"/>
          <w:sz w:val="36"/>
          <w:szCs w:val="36"/>
          <w:highlight w:val="none"/>
          <w:lang w:eastAsia="zh-CN"/>
        </w:rPr>
        <w:t>大类</w:t>
      </w:r>
      <w:r>
        <w:rPr>
          <w:rFonts w:hint="eastAsia" w:ascii="仿宋_GB2312" w:hAnsi="微软雅黑" w:eastAsia="仿宋_GB2312" w:cs="宋体"/>
          <w:kern w:val="0"/>
          <w:sz w:val="36"/>
          <w:szCs w:val="36"/>
          <w:highlight w:val="none"/>
        </w:rPr>
        <w:t>账户的预期投资收益率与实际投资收益率的偏差；</w:t>
      </w:r>
    </w:p>
    <w:p>
      <w:pPr>
        <w:pStyle w:val="4"/>
        <w:widowControl/>
        <w:numPr>
          <w:ilvl w:val="255"/>
          <w:numId w:val="0"/>
        </w:numPr>
        <w:shd w:val="clear" w:color="auto" w:fill="FEFEFE"/>
        <w:adjustRightInd w:val="0"/>
        <w:snapToGrid w:val="0"/>
        <w:spacing w:beforeLines="0" w:afterLines="0" w:line="600" w:lineRule="exact"/>
        <w:ind w:right="119" w:firstLine="64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（三）</w:t>
      </w:r>
      <w:r>
        <w:rPr>
          <w:rFonts w:hint="eastAsia" w:ascii="仿宋_GB2312" w:hAnsi="微软雅黑" w:eastAsia="仿宋_GB2312" w:cs="宋体"/>
          <w:kern w:val="0"/>
          <w:sz w:val="36"/>
          <w:szCs w:val="36"/>
          <w:highlight w:val="none"/>
        </w:rPr>
        <w:t>分</w:t>
      </w:r>
      <w:r>
        <w:rPr>
          <w:rFonts w:hint="eastAsia" w:ascii="仿宋_GB2312" w:hAnsi="微软雅黑" w:eastAsia="仿宋_GB2312" w:cs="宋体"/>
          <w:kern w:val="0"/>
          <w:sz w:val="36"/>
          <w:szCs w:val="36"/>
          <w:highlight w:val="none"/>
          <w:lang w:eastAsia="zh-CN"/>
        </w:rPr>
        <w:t>大类</w:t>
      </w:r>
      <w:r>
        <w:rPr>
          <w:rFonts w:hint="eastAsia" w:ascii="仿宋_GB2312" w:hAnsi="微软雅黑" w:eastAsia="仿宋_GB2312" w:cs="宋体"/>
          <w:kern w:val="0"/>
          <w:sz w:val="36"/>
          <w:szCs w:val="36"/>
          <w:highlight w:val="none"/>
        </w:rPr>
        <w:t>账户的预期负债</w:t>
      </w:r>
      <w:r>
        <w:rPr>
          <w:rFonts w:hint="eastAsia" w:ascii="仿宋_GB2312" w:hAnsi="微软雅黑" w:eastAsia="仿宋_GB2312" w:cs="宋体"/>
          <w:kern w:val="0"/>
          <w:sz w:val="36"/>
          <w:szCs w:val="36"/>
          <w:highlight w:val="none"/>
          <w:lang w:eastAsia="zh-CN"/>
        </w:rPr>
        <w:t>资金</w:t>
      </w:r>
      <w:r>
        <w:rPr>
          <w:rFonts w:hint="eastAsia" w:ascii="仿宋_GB2312" w:hAnsi="微软雅黑" w:eastAsia="仿宋_GB2312" w:cs="宋体"/>
          <w:kern w:val="0"/>
          <w:sz w:val="36"/>
          <w:szCs w:val="36"/>
          <w:highlight w:val="none"/>
        </w:rPr>
        <w:t>成本率及负债</w:t>
      </w:r>
      <w:r>
        <w:rPr>
          <w:rFonts w:hint="eastAsia" w:ascii="仿宋_GB2312" w:hAnsi="微软雅黑" w:eastAsia="仿宋_GB2312" w:cs="宋体"/>
          <w:kern w:val="0"/>
          <w:sz w:val="36"/>
          <w:szCs w:val="36"/>
          <w:highlight w:val="none"/>
          <w:lang w:eastAsia="zh-CN"/>
        </w:rPr>
        <w:t>保证</w:t>
      </w:r>
      <w:r>
        <w:rPr>
          <w:rFonts w:hint="eastAsia" w:ascii="仿宋_GB2312" w:hAnsi="微软雅黑" w:eastAsia="仿宋_GB2312" w:cs="宋体"/>
          <w:kern w:val="0"/>
          <w:sz w:val="36"/>
          <w:szCs w:val="36"/>
          <w:highlight w:val="none"/>
        </w:rPr>
        <w:t>成本率与实际负债</w:t>
      </w:r>
      <w:r>
        <w:rPr>
          <w:rFonts w:hint="eastAsia" w:ascii="仿宋_GB2312" w:hAnsi="微软雅黑" w:eastAsia="仿宋_GB2312" w:cs="宋体"/>
          <w:kern w:val="0"/>
          <w:sz w:val="36"/>
          <w:szCs w:val="36"/>
          <w:highlight w:val="none"/>
          <w:lang w:eastAsia="zh-CN"/>
        </w:rPr>
        <w:t>资金</w:t>
      </w:r>
      <w:r>
        <w:rPr>
          <w:rFonts w:hint="eastAsia" w:ascii="仿宋_GB2312" w:hAnsi="微软雅黑" w:eastAsia="仿宋_GB2312" w:cs="宋体"/>
          <w:kern w:val="0"/>
          <w:sz w:val="36"/>
          <w:szCs w:val="36"/>
          <w:highlight w:val="none"/>
        </w:rPr>
        <w:t>成本率及负债</w:t>
      </w:r>
      <w:r>
        <w:rPr>
          <w:rFonts w:hint="eastAsia" w:ascii="仿宋_GB2312" w:hAnsi="微软雅黑" w:eastAsia="仿宋_GB2312" w:cs="宋体"/>
          <w:kern w:val="0"/>
          <w:sz w:val="36"/>
          <w:szCs w:val="36"/>
          <w:highlight w:val="none"/>
          <w:lang w:eastAsia="zh-CN"/>
        </w:rPr>
        <w:t>保证</w:t>
      </w:r>
      <w:r>
        <w:rPr>
          <w:rFonts w:hint="eastAsia" w:ascii="仿宋_GB2312" w:hAnsi="微软雅黑" w:eastAsia="仿宋_GB2312" w:cs="宋体"/>
          <w:kern w:val="0"/>
          <w:sz w:val="36"/>
          <w:szCs w:val="36"/>
          <w:highlight w:val="none"/>
        </w:rPr>
        <w:t>成本率的偏差。</w:t>
      </w:r>
    </w:p>
    <w:p>
      <w:pPr>
        <w:pStyle w:val="4"/>
        <w:widowControl/>
        <w:numPr>
          <w:ilvl w:val="255"/>
          <w:numId w:val="0"/>
        </w:numPr>
        <w:shd w:val="clear" w:color="auto" w:fill="FEFEFE"/>
        <w:adjustRightInd w:val="0"/>
        <w:snapToGrid w:val="0"/>
        <w:spacing w:beforeLines="0" w:afterLines="0" w:line="600" w:lineRule="exact"/>
        <w:ind w:right="119" w:firstLine="640"/>
        <w:rPr>
          <w:rFonts w:hint="eastAsia" w:ascii="仿宋_GB2312" w:hAnsi="微软雅黑" w:eastAsia="仿宋_GB2312" w:cs="宋体"/>
          <w:kern w:val="0"/>
          <w:sz w:val="36"/>
          <w:szCs w:val="36"/>
          <w:highlight w:val="none"/>
          <w:lang w:val="en-US" w:eastAsia="zh-CN"/>
        </w:rPr>
      </w:pPr>
      <w:r>
        <w:rPr>
          <w:rFonts w:hint="eastAsia" w:ascii="仿宋_GB2312" w:hAnsi="微软雅黑" w:eastAsia="仿宋_GB2312" w:cs="宋体"/>
          <w:kern w:val="0"/>
          <w:sz w:val="36"/>
          <w:szCs w:val="36"/>
          <w:highlight w:val="none"/>
          <w:lang w:eastAsia="zh-CN"/>
        </w:rPr>
        <w:t>（四）</w:t>
      </w:r>
      <w:r>
        <w:rPr>
          <w:rFonts w:hint="eastAsia" w:ascii="仿宋_GB2312" w:hAnsi="微软雅黑" w:eastAsia="仿宋_GB2312" w:cs="宋体"/>
          <w:kern w:val="0"/>
          <w:sz w:val="36"/>
          <w:szCs w:val="36"/>
          <w:highlight w:val="none"/>
          <w:lang w:val="en-US" w:eastAsia="zh-CN"/>
        </w:rPr>
        <w:t>资产负债管理目标与达成情况的比较和归因分析。</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宋体" w:eastAsia="仿宋_GB2312" w:cs="仿宋_GB2312"/>
          <w:kern w:val="0"/>
          <w:sz w:val="36"/>
          <w:szCs w:val="36"/>
          <w:highlight w:val="none"/>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二十五</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管理报告</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 xml:space="preserve"> 保险公司应当</w:t>
      </w:r>
      <w:r>
        <w:rPr>
          <w:rFonts w:hint="eastAsia" w:ascii="仿宋_GB2312" w:hAnsi="微软雅黑" w:eastAsia="仿宋_GB2312" w:cs="宋体"/>
          <w:kern w:val="0"/>
          <w:sz w:val="36"/>
          <w:szCs w:val="36"/>
          <w:highlight w:val="none"/>
          <w:lang w:eastAsia="zh-CN"/>
        </w:rPr>
        <w:t>建立规范的资产负债管理报告制度，</w:t>
      </w:r>
      <w:r>
        <w:rPr>
          <w:rFonts w:hint="eastAsia" w:ascii="仿宋_GB2312" w:hAnsi="宋体" w:eastAsia="仿宋_GB2312" w:cs="仿宋_GB2312"/>
          <w:kern w:val="0"/>
          <w:sz w:val="36"/>
          <w:szCs w:val="36"/>
          <w:highlight w:val="none"/>
        </w:rPr>
        <w:t>明确</w:t>
      </w:r>
      <w:r>
        <w:rPr>
          <w:rFonts w:hint="eastAsia" w:ascii="仿宋_GB2312" w:hAnsi="宋体" w:eastAsia="仿宋_GB2312" w:cs="仿宋_GB2312"/>
          <w:kern w:val="0"/>
          <w:sz w:val="36"/>
          <w:szCs w:val="36"/>
          <w:highlight w:val="none"/>
          <w:lang w:eastAsia="zh-CN"/>
        </w:rPr>
        <w:t>报告</w:t>
      </w:r>
      <w:r>
        <w:rPr>
          <w:rFonts w:hint="eastAsia" w:ascii="仿宋_GB2312" w:hAnsi="宋体" w:eastAsia="仿宋_GB2312" w:cs="仿宋_GB2312"/>
          <w:kern w:val="0"/>
          <w:sz w:val="36"/>
          <w:szCs w:val="36"/>
          <w:highlight w:val="none"/>
        </w:rPr>
        <w:t>的内容、形式、频率和报送范围，确保董事会、高级管理层和其他管理人员及时了解</w:t>
      </w:r>
      <w:r>
        <w:rPr>
          <w:rFonts w:hint="eastAsia" w:ascii="仿宋_GB2312" w:hAnsi="宋体" w:eastAsia="仿宋_GB2312" w:cs="仿宋_GB2312"/>
          <w:kern w:val="0"/>
          <w:sz w:val="36"/>
          <w:szCs w:val="36"/>
          <w:highlight w:val="none"/>
          <w:lang w:eastAsia="zh-CN"/>
        </w:rPr>
        <w:t>资产负债匹配状况</w:t>
      </w:r>
      <w:r>
        <w:rPr>
          <w:rFonts w:hint="eastAsia" w:ascii="仿宋_GB2312" w:hAnsi="宋体" w:eastAsia="仿宋_GB2312" w:cs="仿宋_GB2312"/>
          <w:kern w:val="0"/>
          <w:sz w:val="36"/>
          <w:szCs w:val="36"/>
          <w:highlight w:val="none"/>
        </w:rPr>
        <w:t>及其管理状况。</w:t>
      </w:r>
    </w:p>
    <w:p>
      <w:pPr>
        <w:widowControl/>
        <w:shd w:val="clear" w:color="auto" w:fill="FEFEFE"/>
        <w:adjustRightInd w:val="0"/>
        <w:snapToGrid w:val="0"/>
        <w:spacing w:beforeLines="0" w:afterLines="0" w:line="600" w:lineRule="exact"/>
        <w:ind w:right="119" w:firstLine="641" w:firstLineChars="0"/>
        <w:jc w:val="left"/>
        <w:rPr>
          <w:rFonts w:hint="eastAsia" w:ascii="仿宋_GB2312" w:hAnsi="宋体" w:eastAsia="仿宋_GB2312" w:cs="仿宋_GB2312"/>
          <w:kern w:val="0"/>
          <w:sz w:val="36"/>
          <w:szCs w:val="36"/>
          <w:highlight w:val="none"/>
          <w:lang w:eastAsia="zh-CN"/>
        </w:rPr>
      </w:pPr>
      <w:r>
        <w:rPr>
          <w:rFonts w:hint="eastAsia" w:ascii="仿宋_GB2312" w:hAnsi="宋体" w:eastAsia="仿宋_GB2312" w:cs="仿宋_GB2312"/>
          <w:kern w:val="0"/>
          <w:sz w:val="36"/>
          <w:szCs w:val="36"/>
          <w:highlight w:val="none"/>
          <w:lang w:eastAsia="zh-CN"/>
        </w:rPr>
        <w:t>第二十六条【评估调整】保险公司应当根据宏观经济形势及市场情况变化等因素，结合自身偿付能力状况和风险变化情况，跟踪资产负债匹配指标和主要影响因素变化趋势，及时评估和调整资产负债管理方案，并履行相应的审批程序。</w:t>
      </w:r>
    </w:p>
    <w:p>
      <w:pPr>
        <w:pStyle w:val="4"/>
        <w:widowControl/>
        <w:numPr>
          <w:ilvl w:val="255"/>
          <w:numId w:val="0"/>
        </w:numPr>
        <w:shd w:val="clear" w:color="auto" w:fill="FEFEFE"/>
        <w:adjustRightInd w:val="0"/>
        <w:snapToGrid w:val="0"/>
        <w:spacing w:beforeLines="0" w:afterLines="0" w:line="600" w:lineRule="exact"/>
        <w:ind w:left="641" w:right="119"/>
        <w:rPr>
          <w:rFonts w:ascii="仿宋_GB2312" w:hAnsi="微软雅黑" w:eastAsia="仿宋_GB2312" w:cs="宋体"/>
          <w:kern w:val="0"/>
          <w:sz w:val="36"/>
          <w:szCs w:val="36"/>
          <w:highlight w:val="none"/>
        </w:rPr>
      </w:pPr>
    </w:p>
    <w:p>
      <w:pPr>
        <w:pStyle w:val="4"/>
        <w:widowControl/>
        <w:numPr>
          <w:ilvl w:val="255"/>
          <w:numId w:val="0"/>
        </w:numPr>
        <w:shd w:val="clear" w:color="auto" w:fill="FEFEFE"/>
        <w:adjustRightInd w:val="0"/>
        <w:snapToGrid w:val="0"/>
        <w:spacing w:beforeLines="0" w:afterLines="0" w:line="600" w:lineRule="exact"/>
        <w:ind w:right="119"/>
        <w:jc w:val="center"/>
        <w:rPr>
          <w:rFonts w:hint="eastAsia" w:ascii="仿宋_GB2312" w:hAnsi="微软雅黑" w:eastAsia="宋体" w:cs="宋体"/>
          <w:kern w:val="0"/>
          <w:sz w:val="36"/>
          <w:szCs w:val="36"/>
          <w:highlight w:val="none"/>
          <w:lang w:eastAsia="zh-CN"/>
        </w:rPr>
      </w:pPr>
      <w:r>
        <w:rPr>
          <w:rFonts w:hint="eastAsia" w:ascii="宋体" w:hAnsi="宋体" w:eastAsia="宋体" w:cs="宋体"/>
          <w:kern w:val="0"/>
          <w:sz w:val="36"/>
          <w:szCs w:val="36"/>
          <w:highlight w:val="none"/>
        </w:rPr>
        <w:t>第三节 资产负债管理</w:t>
      </w:r>
      <w:r>
        <w:rPr>
          <w:rFonts w:hint="eastAsia" w:ascii="宋体" w:hAnsi="宋体" w:eastAsia="宋体" w:cs="宋体"/>
          <w:kern w:val="0"/>
          <w:sz w:val="36"/>
          <w:szCs w:val="36"/>
          <w:highlight w:val="none"/>
          <w:lang w:eastAsia="zh-CN"/>
        </w:rPr>
        <w:t>模型和系统</w:t>
      </w:r>
    </w:p>
    <w:p>
      <w:pPr>
        <w:pStyle w:val="4"/>
        <w:widowControl/>
        <w:numPr>
          <w:ilvl w:val="255"/>
          <w:numId w:val="0"/>
        </w:numPr>
        <w:shd w:val="clear" w:color="auto" w:fill="FEFEFE"/>
        <w:adjustRightInd w:val="0"/>
        <w:snapToGrid w:val="0"/>
        <w:spacing w:beforeLines="0" w:afterLines="0" w:line="600" w:lineRule="exact"/>
        <w:ind w:left="641" w:right="119"/>
        <w:rPr>
          <w:rFonts w:ascii="仿宋_GB2312" w:hAnsi="微软雅黑" w:eastAsia="仿宋_GB2312" w:cs="宋体"/>
          <w:kern w:val="0"/>
          <w:sz w:val="36"/>
          <w:szCs w:val="36"/>
          <w:highlight w:val="none"/>
        </w:rPr>
      </w:pPr>
    </w:p>
    <w:p>
      <w:pPr>
        <w:pStyle w:val="4"/>
        <w:widowControl/>
        <w:shd w:val="clear" w:color="auto" w:fill="FEFEFE"/>
        <w:adjustRightInd w:val="0"/>
        <w:snapToGrid w:val="0"/>
        <w:spacing w:beforeLines="0" w:afterLines="0" w:line="600" w:lineRule="exact"/>
        <w:ind w:right="119" w:firstLine="641" w:firstLineChars="0"/>
        <w:rPr>
          <w:rFonts w:hint="eastAsia" w:ascii="仿宋_GB2312" w:hAnsi="仿宋_GB2312" w:eastAsia="仿宋_GB2312" w:cs="仿宋_GB2312"/>
          <w:sz w:val="36"/>
          <w:szCs w:val="36"/>
          <w:highlight w:val="none"/>
          <w:lang w:val="en-US" w:eastAsia="zh-CN"/>
        </w:rPr>
      </w:pPr>
      <w:r>
        <w:rPr>
          <w:rFonts w:hint="eastAsia" w:ascii="仿宋_GB2312" w:hAnsi="微软雅黑" w:eastAsia="仿宋_GB2312" w:cs="宋体"/>
          <w:kern w:val="0"/>
          <w:sz w:val="36"/>
          <w:szCs w:val="36"/>
          <w:highlight w:val="none"/>
        </w:rPr>
        <w:t>第二十</w:t>
      </w:r>
      <w:r>
        <w:rPr>
          <w:rFonts w:hint="eastAsia" w:ascii="仿宋_GB2312" w:hAnsi="微软雅黑" w:eastAsia="仿宋_GB2312" w:cs="宋体"/>
          <w:kern w:val="0"/>
          <w:sz w:val="36"/>
          <w:szCs w:val="36"/>
          <w:highlight w:val="none"/>
          <w:lang w:eastAsia="zh-CN"/>
        </w:rPr>
        <w:t>七</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【系统功能】</w:t>
      </w:r>
      <w:r>
        <w:rPr>
          <w:rFonts w:hint="eastAsia" w:ascii="仿宋_GB2312" w:hAnsi="微软雅黑" w:eastAsia="仿宋_GB2312" w:cs="宋体"/>
          <w:kern w:val="0"/>
          <w:sz w:val="36"/>
          <w:szCs w:val="36"/>
          <w:highlight w:val="none"/>
        </w:rPr>
        <w:t xml:space="preserve"> 保险公司应当建立</w:t>
      </w:r>
      <w:r>
        <w:rPr>
          <w:rFonts w:hint="eastAsia" w:ascii="仿宋_GB2312" w:hAnsi="微软雅黑" w:eastAsia="仿宋_GB2312" w:cs="宋体"/>
          <w:kern w:val="0"/>
          <w:sz w:val="36"/>
          <w:szCs w:val="36"/>
          <w:highlight w:val="none"/>
          <w:lang w:eastAsia="zh-CN"/>
        </w:rPr>
        <w:t>与业务复杂度相适应的</w:t>
      </w:r>
      <w:r>
        <w:rPr>
          <w:rFonts w:hint="eastAsia" w:ascii="仿宋_GB2312" w:hAnsi="微软雅黑" w:eastAsia="仿宋_GB2312" w:cs="宋体"/>
          <w:kern w:val="0"/>
          <w:sz w:val="36"/>
          <w:szCs w:val="36"/>
          <w:highlight w:val="none"/>
        </w:rPr>
        <w:t>资产负债管理</w:t>
      </w:r>
      <w:r>
        <w:rPr>
          <w:rFonts w:hint="eastAsia" w:ascii="仿宋_GB2312" w:hAnsi="微软雅黑" w:eastAsia="仿宋_GB2312" w:cs="宋体"/>
          <w:kern w:val="0"/>
          <w:sz w:val="36"/>
          <w:szCs w:val="36"/>
          <w:highlight w:val="none"/>
          <w:lang w:eastAsia="zh-CN"/>
        </w:rPr>
        <w:t>信息系统（或功能模块），信息系统</w:t>
      </w:r>
      <w:r>
        <w:rPr>
          <w:rFonts w:hint="eastAsia" w:ascii="仿宋_GB2312" w:hAnsi="仿宋_GB2312" w:eastAsia="仿宋_GB2312" w:cs="仿宋_GB2312"/>
          <w:sz w:val="36"/>
          <w:szCs w:val="36"/>
          <w:highlight w:val="none"/>
          <w:lang w:val="en-US" w:eastAsia="zh-CN"/>
        </w:rPr>
        <w:t>应当至少具备以下功能：</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720" w:firstLineChars="200"/>
        <w:textAlignment w:val="auto"/>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val="en-US" w:eastAsia="zh-CN"/>
        </w:rPr>
        <w:t>（一）测算资产负债匹配指标；</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720" w:firstLineChars="200"/>
        <w:textAlignment w:val="auto"/>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val="en-US" w:eastAsia="zh-CN"/>
        </w:rPr>
        <w:t>（二）支持对资产负债匹配指标传导机制与限额管理的监测和控制；</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720" w:firstLineChars="200"/>
        <w:textAlignment w:val="auto"/>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val="en-US" w:eastAsia="zh-CN"/>
        </w:rPr>
        <w:t>（三）测算市场风险、信用风险、退保风险等风险因素对资产负债匹配状况的影响；</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720" w:firstLineChars="200"/>
        <w:textAlignment w:val="auto"/>
        <w:rPr>
          <w:rFonts w:hint="default"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val="en-US" w:eastAsia="zh-CN"/>
        </w:rPr>
        <w:t>（四）测算业务规划、保险产品分红和万能结算政策、资产配置政策等内部决策及其变化对资产负债匹配状况的影响；</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val="en-US" w:eastAsia="zh-CN"/>
        </w:rPr>
        <w:t>（五）</w:t>
      </w:r>
      <w:r>
        <w:rPr>
          <w:rFonts w:hint="eastAsia" w:ascii="仿宋_GB2312" w:hAnsi="宋体" w:eastAsia="仿宋_GB2312" w:cs="仿宋_GB2312"/>
          <w:kern w:val="0"/>
          <w:sz w:val="36"/>
          <w:szCs w:val="36"/>
          <w:highlight w:val="none"/>
        </w:rPr>
        <w:t>支持在不同假设情景下实施</w:t>
      </w:r>
      <w:r>
        <w:rPr>
          <w:rFonts w:hint="eastAsia" w:ascii="仿宋_GB2312" w:hAnsi="宋体" w:eastAsia="仿宋_GB2312" w:cs="仿宋_GB2312"/>
          <w:kern w:val="0"/>
          <w:sz w:val="36"/>
          <w:szCs w:val="36"/>
          <w:highlight w:val="none"/>
          <w:lang w:eastAsia="zh-CN"/>
        </w:rPr>
        <w:t>资产负债管理</w:t>
      </w:r>
      <w:r>
        <w:rPr>
          <w:rFonts w:hint="eastAsia" w:ascii="仿宋_GB2312" w:hAnsi="宋体" w:eastAsia="仿宋_GB2312" w:cs="仿宋_GB2312"/>
          <w:kern w:val="0"/>
          <w:sz w:val="36"/>
          <w:szCs w:val="36"/>
          <w:highlight w:val="none"/>
        </w:rPr>
        <w:t>压力测试</w:t>
      </w:r>
      <w:r>
        <w:rPr>
          <w:rFonts w:hint="eastAsia" w:ascii="仿宋_GB2312" w:hAnsi="仿宋_GB2312" w:eastAsia="仿宋_GB2312" w:cs="仿宋_GB2312"/>
          <w:sz w:val="36"/>
          <w:szCs w:val="36"/>
          <w:highlight w:val="none"/>
          <w:lang w:val="en-US" w:eastAsia="zh-CN"/>
        </w:rPr>
        <w:t>。</w:t>
      </w:r>
    </w:p>
    <w:p>
      <w:pPr>
        <w:pStyle w:val="4"/>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第二十</w:t>
      </w:r>
      <w:r>
        <w:rPr>
          <w:rFonts w:hint="eastAsia" w:ascii="仿宋_GB2312" w:hAnsi="微软雅黑" w:eastAsia="仿宋_GB2312" w:cs="宋体"/>
          <w:kern w:val="0"/>
          <w:sz w:val="36"/>
          <w:szCs w:val="36"/>
          <w:highlight w:val="none"/>
          <w:lang w:eastAsia="zh-CN"/>
        </w:rPr>
        <w:t>八</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【信息系统制度】</w:t>
      </w:r>
      <w:r>
        <w:rPr>
          <w:rFonts w:hint="eastAsia" w:ascii="仿宋_GB2312" w:hAnsi="微软雅黑" w:eastAsia="仿宋_GB2312" w:cs="宋体"/>
          <w:kern w:val="0"/>
          <w:sz w:val="36"/>
          <w:szCs w:val="36"/>
          <w:highlight w:val="none"/>
        </w:rPr>
        <w:t xml:space="preserve"> </w:t>
      </w:r>
      <w:r>
        <w:rPr>
          <w:rFonts w:hint="eastAsia" w:ascii="仿宋_GB2312" w:hAnsi="微软雅黑" w:eastAsia="仿宋_GB2312" w:cs="宋体"/>
          <w:kern w:val="0"/>
          <w:sz w:val="36"/>
          <w:szCs w:val="36"/>
          <w:highlight w:val="none"/>
          <w:lang w:val="en-US" w:eastAsia="zh-CN"/>
        </w:rPr>
        <w:t>保险公司应当建立涵盖资产负债管理信息系统的管理制度，明确使用和维护信息系统的内部控制流程，</w:t>
      </w:r>
      <w:r>
        <w:rPr>
          <w:rFonts w:hint="eastAsia" w:ascii="仿宋_GB2312" w:hAnsi="微软雅黑" w:eastAsia="仿宋_GB2312" w:cs="宋体"/>
          <w:kern w:val="0"/>
          <w:sz w:val="36"/>
          <w:szCs w:val="36"/>
          <w:highlight w:val="none"/>
          <w:lang w:eastAsia="zh-CN"/>
        </w:rPr>
        <w:t>加强各类业务授权和信息系统权限管理，</w:t>
      </w:r>
      <w:r>
        <w:rPr>
          <w:rFonts w:hint="eastAsia" w:ascii="仿宋_GB2312" w:hAnsi="微软雅黑" w:eastAsia="仿宋_GB2312" w:cs="宋体"/>
          <w:kern w:val="0"/>
          <w:sz w:val="36"/>
          <w:szCs w:val="36"/>
          <w:highlight w:val="none"/>
        </w:rPr>
        <w:t>相关功能</w:t>
      </w:r>
      <w:r>
        <w:rPr>
          <w:rFonts w:hint="eastAsia" w:ascii="仿宋_GB2312" w:hAnsi="微软雅黑" w:eastAsia="仿宋_GB2312" w:cs="宋体"/>
          <w:kern w:val="0"/>
          <w:sz w:val="36"/>
          <w:szCs w:val="36"/>
          <w:highlight w:val="none"/>
          <w:lang w:eastAsia="zh-CN"/>
        </w:rPr>
        <w:t>文档应当</w:t>
      </w:r>
      <w:r>
        <w:rPr>
          <w:rFonts w:hint="eastAsia" w:ascii="仿宋_GB2312" w:hAnsi="微软雅黑" w:eastAsia="仿宋_GB2312" w:cs="宋体"/>
          <w:kern w:val="0"/>
          <w:sz w:val="36"/>
          <w:szCs w:val="36"/>
          <w:highlight w:val="none"/>
        </w:rPr>
        <w:t>经过适当的审批程序</w:t>
      </w:r>
      <w:r>
        <w:rPr>
          <w:rFonts w:hint="eastAsia" w:ascii="仿宋_GB2312" w:hAnsi="微软雅黑" w:eastAsia="仿宋_GB2312" w:cs="宋体"/>
          <w:kern w:val="0"/>
          <w:sz w:val="36"/>
          <w:szCs w:val="36"/>
          <w:highlight w:val="none"/>
          <w:lang w:eastAsia="zh-CN"/>
        </w:rPr>
        <w:t>。</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第二十</w:t>
      </w:r>
      <w:r>
        <w:rPr>
          <w:rFonts w:hint="eastAsia" w:ascii="仿宋_GB2312" w:hAnsi="微软雅黑" w:eastAsia="仿宋_GB2312" w:cs="宋体"/>
          <w:kern w:val="0"/>
          <w:sz w:val="36"/>
          <w:szCs w:val="36"/>
          <w:highlight w:val="none"/>
          <w:lang w:eastAsia="zh-CN"/>
        </w:rPr>
        <w:t>九</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【模型假设】</w:t>
      </w:r>
      <w:r>
        <w:rPr>
          <w:rFonts w:hint="eastAsia" w:ascii="仿宋_GB2312" w:hAnsi="微软雅黑" w:eastAsia="仿宋_GB2312" w:cs="宋体"/>
          <w:kern w:val="0"/>
          <w:sz w:val="36"/>
          <w:szCs w:val="36"/>
          <w:highlight w:val="none"/>
        </w:rPr>
        <w:t xml:space="preserve"> 保险公司应当制定资产负债管理模型相关假设的内部控制流程，相关假设应当有明确的设置方法和数据来源，拟定或调整相关假设应经过适当的审批程序。</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bidi="ar"/>
        </w:rPr>
        <w:t>第三十条【外购模型管理】</w:t>
      </w:r>
      <w:r>
        <w:rPr>
          <w:rFonts w:hint="eastAsia" w:ascii="仿宋_GB2312" w:hAnsi="微软雅黑" w:eastAsia="仿宋_GB2312" w:cs="宋体"/>
          <w:kern w:val="0"/>
          <w:sz w:val="36"/>
          <w:szCs w:val="36"/>
          <w:highlight w:val="none"/>
          <w:lang w:val="en-US" w:eastAsia="zh-CN" w:bidi="ar"/>
        </w:rPr>
        <w:t xml:space="preserve"> </w:t>
      </w:r>
      <w:r>
        <w:rPr>
          <w:rFonts w:hint="eastAsia" w:ascii="仿宋_GB2312" w:hAnsi="微软雅黑" w:eastAsia="仿宋_GB2312" w:cs="宋体"/>
          <w:kern w:val="0"/>
          <w:sz w:val="36"/>
          <w:szCs w:val="36"/>
          <w:highlight w:val="none"/>
          <w:lang w:eastAsia="zh-CN" w:bidi="ar"/>
        </w:rPr>
        <w:t>保险公司</w:t>
      </w:r>
      <w:r>
        <w:rPr>
          <w:rFonts w:hint="eastAsia" w:ascii="仿宋_GB2312" w:hAnsi="微软雅黑" w:eastAsia="仿宋_GB2312" w:cs="宋体"/>
          <w:kern w:val="0"/>
          <w:sz w:val="36"/>
          <w:szCs w:val="36"/>
          <w:highlight w:val="none"/>
          <w:lang w:bidi="ar"/>
        </w:rPr>
        <w:t>使用外购</w:t>
      </w:r>
      <w:r>
        <w:rPr>
          <w:rFonts w:hint="eastAsia" w:ascii="仿宋_GB2312" w:hAnsi="微软雅黑" w:eastAsia="仿宋_GB2312" w:cs="宋体"/>
          <w:kern w:val="0"/>
          <w:sz w:val="36"/>
          <w:szCs w:val="36"/>
          <w:highlight w:val="none"/>
          <w:lang w:eastAsia="zh-CN" w:bidi="ar"/>
        </w:rPr>
        <w:t>资产负债管理</w:t>
      </w:r>
      <w:r>
        <w:rPr>
          <w:rFonts w:hint="eastAsia" w:ascii="仿宋_GB2312" w:hAnsi="微软雅黑" w:eastAsia="仿宋_GB2312" w:cs="宋体"/>
          <w:kern w:val="0"/>
          <w:sz w:val="36"/>
          <w:szCs w:val="36"/>
          <w:highlight w:val="none"/>
          <w:lang w:bidi="ar"/>
        </w:rPr>
        <w:t>模型，或由第三方供应商提供市场数据、</w:t>
      </w:r>
      <w:r>
        <w:rPr>
          <w:rFonts w:hint="eastAsia" w:ascii="仿宋_GB2312" w:hAnsi="微软雅黑" w:eastAsia="仿宋_GB2312" w:cs="宋体"/>
          <w:kern w:val="0"/>
          <w:sz w:val="36"/>
          <w:szCs w:val="36"/>
          <w:highlight w:val="none"/>
          <w:lang w:eastAsia="zh-CN" w:bidi="ar"/>
        </w:rPr>
        <w:t>模型</w:t>
      </w:r>
      <w:r>
        <w:rPr>
          <w:rFonts w:hint="eastAsia" w:ascii="仿宋_GB2312" w:hAnsi="微软雅黑" w:eastAsia="仿宋_GB2312" w:cs="宋体"/>
          <w:kern w:val="0"/>
          <w:sz w:val="36"/>
          <w:szCs w:val="36"/>
          <w:highlight w:val="none"/>
          <w:lang w:bidi="ar"/>
        </w:rPr>
        <w:t>假设</w:t>
      </w:r>
      <w:r>
        <w:rPr>
          <w:rFonts w:hint="eastAsia" w:ascii="仿宋_GB2312" w:hAnsi="微软雅黑" w:eastAsia="仿宋_GB2312" w:cs="宋体"/>
          <w:kern w:val="0"/>
          <w:sz w:val="36"/>
          <w:szCs w:val="36"/>
          <w:highlight w:val="none"/>
          <w:lang w:eastAsia="zh-CN" w:bidi="ar"/>
        </w:rPr>
        <w:t>和</w:t>
      </w:r>
      <w:r>
        <w:rPr>
          <w:rFonts w:hint="eastAsia" w:ascii="仿宋_GB2312" w:hAnsi="微软雅黑" w:eastAsia="仿宋_GB2312" w:cs="宋体"/>
          <w:kern w:val="0"/>
          <w:sz w:val="36"/>
          <w:szCs w:val="36"/>
          <w:highlight w:val="none"/>
          <w:lang w:bidi="ar"/>
        </w:rPr>
        <w:t>参数等，应将其纳入模型验证，并完整记录模型的选择、使用、订制性需求等情况，确保其与</w:t>
      </w:r>
      <w:r>
        <w:rPr>
          <w:rFonts w:hint="eastAsia" w:ascii="仿宋_GB2312" w:hAnsi="微软雅黑" w:eastAsia="仿宋_GB2312" w:cs="宋体"/>
          <w:kern w:val="0"/>
          <w:sz w:val="36"/>
          <w:szCs w:val="36"/>
          <w:highlight w:val="none"/>
          <w:lang w:eastAsia="zh-CN" w:bidi="ar"/>
        </w:rPr>
        <w:t>保险公司</w:t>
      </w:r>
      <w:r>
        <w:rPr>
          <w:rFonts w:hint="eastAsia" w:ascii="仿宋_GB2312" w:hAnsi="微软雅黑" w:eastAsia="仿宋_GB2312" w:cs="宋体"/>
          <w:kern w:val="0"/>
          <w:sz w:val="36"/>
          <w:szCs w:val="36"/>
          <w:highlight w:val="none"/>
          <w:lang w:bidi="ar"/>
        </w:rPr>
        <w:t>业务活动和风险特征相符。</w:t>
      </w:r>
    </w:p>
    <w:p>
      <w:pPr>
        <w:pStyle w:val="4"/>
        <w:keepNext w:val="0"/>
        <w:keepLines w:val="0"/>
        <w:widowControl/>
        <w:suppressLineNumbers w:val="0"/>
        <w:shd w:val="clear" w:color="auto" w:fill="FEFEFE"/>
        <w:adjustRightInd w:val="0"/>
        <w:snapToGrid w:val="0"/>
        <w:spacing w:before="0" w:beforeLines="0" w:beforeAutospacing="0" w:after="0" w:afterLines="0" w:afterAutospacing="0" w:line="600" w:lineRule="exact"/>
        <w:ind w:left="0" w:right="119" w:rightChars="0" w:firstLine="641" w:firstLineChars="0"/>
        <w:jc w:val="left"/>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三十一</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【信息系统评估】</w:t>
      </w:r>
      <w:r>
        <w:rPr>
          <w:rFonts w:hint="eastAsia" w:ascii="仿宋_GB2312" w:hAnsi="微软雅黑" w:eastAsia="仿宋_GB2312" w:cs="宋体"/>
          <w:kern w:val="0"/>
          <w:sz w:val="36"/>
          <w:szCs w:val="36"/>
          <w:highlight w:val="none"/>
        </w:rPr>
        <w:t xml:space="preserve"> 保险公司应当至少每年评估资产负债管理</w:t>
      </w:r>
      <w:r>
        <w:rPr>
          <w:rFonts w:hint="eastAsia" w:ascii="仿宋_GB2312" w:hAnsi="微软雅黑" w:eastAsia="仿宋_GB2312" w:cs="宋体"/>
          <w:kern w:val="0"/>
          <w:sz w:val="36"/>
          <w:szCs w:val="36"/>
          <w:highlight w:val="none"/>
          <w:lang w:eastAsia="zh-CN"/>
        </w:rPr>
        <w:t>信息系统</w:t>
      </w:r>
      <w:r>
        <w:rPr>
          <w:rFonts w:hint="eastAsia" w:ascii="仿宋_GB2312" w:hAnsi="微软雅黑" w:eastAsia="仿宋_GB2312" w:cs="宋体"/>
          <w:kern w:val="0"/>
          <w:sz w:val="36"/>
          <w:szCs w:val="36"/>
          <w:highlight w:val="none"/>
        </w:rPr>
        <w:t>的有效性，及时更新模型假设</w:t>
      </w:r>
      <w:r>
        <w:rPr>
          <w:rFonts w:hint="eastAsia" w:ascii="仿宋_GB2312" w:hAnsi="微软雅黑" w:eastAsia="仿宋_GB2312" w:cs="宋体"/>
          <w:kern w:val="0"/>
          <w:sz w:val="36"/>
          <w:szCs w:val="36"/>
          <w:highlight w:val="none"/>
          <w:lang w:eastAsia="zh-CN"/>
        </w:rPr>
        <w:t>和</w:t>
      </w:r>
      <w:r>
        <w:rPr>
          <w:rFonts w:hint="eastAsia" w:ascii="仿宋_GB2312" w:hAnsi="微软雅黑" w:eastAsia="仿宋_GB2312" w:cs="宋体"/>
          <w:kern w:val="0"/>
          <w:sz w:val="36"/>
          <w:szCs w:val="36"/>
          <w:highlight w:val="none"/>
        </w:rPr>
        <w:t>参数，确保模型的准确性和完整性</w:t>
      </w:r>
      <w:r>
        <w:rPr>
          <w:rFonts w:hint="eastAsia" w:ascii="仿宋_GB2312" w:hAnsi="微软雅黑" w:eastAsia="仿宋_GB2312" w:cs="宋体"/>
          <w:kern w:val="0"/>
          <w:sz w:val="36"/>
          <w:szCs w:val="36"/>
          <w:highlight w:val="none"/>
          <w:lang w:eastAsia="zh-CN"/>
        </w:rPr>
        <w:t>，并</w:t>
      </w:r>
      <w:r>
        <w:rPr>
          <w:rFonts w:hint="eastAsia" w:ascii="仿宋_GB2312" w:hAnsi="微软雅黑" w:eastAsia="仿宋_GB2312" w:cs="宋体"/>
          <w:kern w:val="0"/>
          <w:sz w:val="36"/>
          <w:szCs w:val="36"/>
          <w:highlight w:val="none"/>
        </w:rPr>
        <w:t>根据需要对信息系统及时改进和更新。</w:t>
      </w:r>
    </w:p>
    <w:p>
      <w:pPr>
        <w:pStyle w:val="4"/>
        <w:widowControl/>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第</w:t>
      </w:r>
      <w:r>
        <w:rPr>
          <w:rFonts w:hint="eastAsia" w:ascii="仿宋_GB2312" w:hAnsi="微软雅黑" w:eastAsia="仿宋_GB2312" w:cs="宋体"/>
          <w:kern w:val="0"/>
          <w:sz w:val="36"/>
          <w:szCs w:val="36"/>
          <w:highlight w:val="none"/>
          <w:lang w:eastAsia="zh-CN"/>
        </w:rPr>
        <w:t>三十二</w:t>
      </w:r>
      <w:r>
        <w:rPr>
          <w:rFonts w:hint="eastAsia" w:ascii="仿宋_GB2312" w:hAnsi="微软雅黑" w:eastAsia="仿宋_GB2312" w:cs="宋体"/>
          <w:kern w:val="0"/>
          <w:sz w:val="36"/>
          <w:szCs w:val="36"/>
          <w:highlight w:val="none"/>
        </w:rPr>
        <w:t>条</w:t>
      </w:r>
      <w:r>
        <w:rPr>
          <w:rFonts w:hint="eastAsia" w:ascii="仿宋_GB2312" w:hAnsi="微软雅黑" w:eastAsia="仿宋_GB2312" w:cs="宋体"/>
          <w:kern w:val="0"/>
          <w:sz w:val="36"/>
          <w:szCs w:val="36"/>
          <w:highlight w:val="none"/>
          <w:lang w:eastAsia="zh-CN"/>
        </w:rPr>
        <w:t>【数据管理】</w:t>
      </w:r>
      <w:r>
        <w:rPr>
          <w:rFonts w:hint="eastAsia" w:ascii="仿宋_GB2312" w:hAnsi="微软雅黑" w:eastAsia="仿宋_GB2312" w:cs="宋体"/>
          <w:kern w:val="0"/>
          <w:sz w:val="36"/>
          <w:szCs w:val="36"/>
          <w:highlight w:val="none"/>
        </w:rPr>
        <w:t xml:space="preserve"> 保险公司应当建立资产负债管理数据管理机制，</w:t>
      </w:r>
      <w:r>
        <w:rPr>
          <w:rFonts w:hint="eastAsia" w:ascii="仿宋_GB2312" w:hAnsi="微软雅黑" w:eastAsia="仿宋_GB2312" w:cs="宋体"/>
          <w:color w:val="auto"/>
          <w:kern w:val="0"/>
          <w:sz w:val="36"/>
          <w:szCs w:val="36"/>
          <w:highlight w:val="none"/>
          <w:lang w:val="en-US" w:eastAsia="zh-CN" w:bidi="ar"/>
        </w:rPr>
        <w:t>明确数据安全、识别、管控、应用等标准，覆盖数据产生、存储、使用、传输、交换、销毁等</w:t>
      </w:r>
      <w:r>
        <w:rPr>
          <w:rFonts w:hint="eastAsia" w:ascii="仿宋_GB2312" w:hAnsi="微软雅黑" w:eastAsia="仿宋_GB2312" w:cs="宋体"/>
          <w:kern w:val="0"/>
          <w:sz w:val="36"/>
          <w:szCs w:val="36"/>
          <w:highlight w:val="none"/>
          <w:lang w:val="en-US" w:eastAsia="zh-CN" w:bidi="ar"/>
        </w:rPr>
        <w:t>环节，</w:t>
      </w:r>
      <w:r>
        <w:rPr>
          <w:rFonts w:hint="eastAsia" w:ascii="仿宋_GB2312" w:hAnsi="微软雅黑" w:eastAsia="仿宋_GB2312" w:cs="宋体"/>
          <w:kern w:val="0"/>
          <w:sz w:val="36"/>
          <w:szCs w:val="36"/>
          <w:highlight w:val="none"/>
        </w:rPr>
        <w:t>所使用的数据应当符合时效性、准确性、一致性和完整性的要求。</w:t>
      </w:r>
    </w:p>
    <w:p>
      <w:pPr>
        <w:widowControl/>
        <w:shd w:val="clear" w:color="auto" w:fill="FEFEFE"/>
        <w:snapToGrid w:val="0"/>
        <w:spacing w:beforeLines="0" w:afterLines="0" w:line="600" w:lineRule="exact"/>
        <w:ind w:firstLine="640"/>
        <w:rPr>
          <w:rFonts w:ascii="仿宋_GB2312" w:hAnsi="微软雅黑" w:eastAsia="仿宋_GB2312" w:cs="宋体"/>
          <w:kern w:val="0"/>
          <w:sz w:val="36"/>
          <w:szCs w:val="36"/>
          <w:highlight w:val="none"/>
        </w:rPr>
      </w:pPr>
    </w:p>
    <w:p>
      <w:pPr>
        <w:pStyle w:val="2"/>
        <w:numPr>
          <w:ilvl w:val="0"/>
          <w:numId w:val="5"/>
        </w:numPr>
        <w:snapToGrid w:val="0"/>
        <w:spacing w:before="0" w:beforeLines="0" w:after="0" w:afterLines="0" w:line="600" w:lineRule="exact"/>
        <w:ind w:left="-1" w:leftChars="0" w:firstLine="0" w:firstLineChars="0"/>
        <w:jc w:val="center"/>
        <w:rPr>
          <w:rFonts w:ascii="宋体" w:hAnsi="宋体" w:eastAsia="宋体"/>
          <w:b/>
          <w:bCs/>
          <w:sz w:val="36"/>
          <w:szCs w:val="36"/>
          <w:highlight w:val="none"/>
        </w:rPr>
      </w:pPr>
      <w:r>
        <w:rPr>
          <w:rFonts w:hint="eastAsia" w:ascii="宋体" w:hAnsi="宋体" w:eastAsia="宋体"/>
          <w:b/>
          <w:bCs/>
          <w:sz w:val="36"/>
          <w:szCs w:val="36"/>
          <w:highlight w:val="none"/>
        </w:rPr>
        <w:t>监管指标和监测指标</w:t>
      </w:r>
    </w:p>
    <w:p>
      <w:pPr>
        <w:pStyle w:val="4"/>
        <w:widowControl/>
        <w:numPr>
          <w:ilvl w:val="255"/>
          <w:numId w:val="0"/>
        </w:numPr>
        <w:shd w:val="clear" w:color="auto" w:fill="FEFEFE"/>
        <w:adjustRightInd w:val="0"/>
        <w:snapToGrid w:val="0"/>
        <w:spacing w:beforeLines="0" w:afterLines="0" w:line="600" w:lineRule="exact"/>
        <w:ind w:left="641" w:right="119"/>
        <w:rPr>
          <w:rFonts w:ascii="仿宋_GB2312" w:hAnsi="微软雅黑" w:eastAsia="仿宋_GB2312" w:cs="宋体"/>
          <w:kern w:val="0"/>
          <w:sz w:val="36"/>
          <w:szCs w:val="36"/>
          <w:highlight w:val="none"/>
        </w:rPr>
      </w:pP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ascii="仿宋_GB2312" w:hAnsi="仿宋_GB2312" w:eastAsia="仿宋_GB2312" w:cs="仿宋_GB2312"/>
          <w:kern w:val="0"/>
          <w:sz w:val="36"/>
          <w:szCs w:val="36"/>
          <w:highlight w:val="none"/>
        </w:rPr>
      </w:pPr>
      <w:r>
        <w:rPr>
          <w:rFonts w:hint="eastAsia" w:ascii="仿宋_GB2312" w:hAnsi="仿宋_GB2312" w:eastAsia="仿宋_GB2312" w:cs="仿宋_GB2312"/>
          <w:kern w:val="0"/>
          <w:sz w:val="36"/>
          <w:szCs w:val="36"/>
          <w:highlight w:val="none"/>
          <w:lang w:val="en-US" w:eastAsia="zh-CN" w:bidi="ar-SA"/>
        </w:rPr>
        <w:t xml:space="preserve">第三十三条【计量基础】 </w:t>
      </w:r>
      <w:r>
        <w:rPr>
          <w:rFonts w:hint="eastAsia" w:ascii="仿宋_GB2312" w:hAnsi="仿宋_GB2312" w:eastAsia="仿宋_GB2312" w:cs="仿宋_GB2312"/>
          <w:sz w:val="36"/>
          <w:szCs w:val="36"/>
          <w:highlight w:val="none"/>
          <w:lang w:val="en-GB"/>
        </w:rPr>
        <w:t>保险公司应当</w:t>
      </w:r>
      <w:r>
        <w:rPr>
          <w:rFonts w:hint="eastAsia" w:ascii="仿宋_GB2312" w:hAnsi="仿宋_GB2312" w:eastAsia="仿宋_GB2312" w:cs="仿宋_GB2312"/>
          <w:sz w:val="36"/>
          <w:szCs w:val="36"/>
          <w:highlight w:val="none"/>
          <w:lang w:val="en-GB" w:eastAsia="zh-CN"/>
        </w:rPr>
        <w:t>在法人层面计算</w:t>
      </w:r>
      <w:r>
        <w:rPr>
          <w:rFonts w:hint="eastAsia" w:ascii="仿宋_GB2312" w:hAnsi="仿宋_GB2312" w:eastAsia="仿宋_GB2312" w:cs="仿宋_GB2312"/>
          <w:sz w:val="36"/>
          <w:szCs w:val="36"/>
          <w:highlight w:val="none"/>
          <w:lang w:val="en-GB"/>
        </w:rPr>
        <w:t>资产负债管理监管指标和监测指标。</w:t>
      </w:r>
      <w:r>
        <w:rPr>
          <w:rFonts w:hint="eastAsia" w:ascii="仿宋_GB2312" w:hAnsi="仿宋_GB2312" w:eastAsia="仿宋_GB2312" w:cs="仿宋_GB2312"/>
          <w:sz w:val="36"/>
          <w:szCs w:val="36"/>
          <w:highlight w:val="none"/>
          <w:lang w:val="en-GB" w:eastAsia="zh-CN"/>
        </w:rPr>
        <w:t>对于监管指标，设定最低监管标准，加强指标限额管理；</w:t>
      </w:r>
      <w:r>
        <w:rPr>
          <w:rFonts w:hint="eastAsia" w:ascii="仿宋_GB2312" w:hAnsi="仿宋_GB2312" w:eastAsia="仿宋_GB2312" w:cs="仿宋_GB2312"/>
          <w:sz w:val="36"/>
          <w:szCs w:val="36"/>
          <w:highlight w:val="none"/>
          <w:lang w:val="en-GB"/>
        </w:rPr>
        <w:t>监测指标用于资产负债错配风险的识别与预警，提高风险管理水平。</w:t>
      </w:r>
    </w:p>
    <w:p>
      <w:pPr>
        <w:pStyle w:val="4"/>
        <w:keepNext w:val="0"/>
        <w:keepLines w:val="0"/>
        <w:pageBreakBefore w:val="0"/>
        <w:widowControl/>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641" w:firstLineChars="0"/>
        <w:textAlignment w:val="auto"/>
        <w:rPr>
          <w:rFonts w:hint="eastAsia" w:ascii="仿宋_GB2312" w:hAnsi="仿宋_GB2312" w:eastAsia="仿宋_GB2312" w:cs="仿宋_GB2312"/>
          <w:sz w:val="36"/>
          <w:szCs w:val="36"/>
          <w:highlight w:val="none"/>
          <w:lang w:val="en-GB" w:eastAsia="zh-CN"/>
        </w:rPr>
      </w:pPr>
      <w:r>
        <w:rPr>
          <w:rFonts w:hint="eastAsia" w:ascii="仿宋_GB2312" w:hAnsi="仿宋_GB2312" w:eastAsia="仿宋_GB2312" w:cs="仿宋_GB2312"/>
          <w:kern w:val="0"/>
          <w:sz w:val="36"/>
          <w:szCs w:val="36"/>
          <w:highlight w:val="none"/>
          <w:lang w:val="en-US" w:eastAsia="zh-CN" w:bidi="ar-SA"/>
        </w:rPr>
        <w:t xml:space="preserve">第三十四条【财险公司监管指标】 </w:t>
      </w:r>
      <w:r>
        <w:rPr>
          <w:rFonts w:hint="eastAsia" w:ascii="仿宋_GB2312" w:hAnsi="仿宋_GB2312" w:eastAsia="仿宋_GB2312" w:cs="仿宋_GB2312"/>
          <w:sz w:val="36"/>
          <w:szCs w:val="36"/>
          <w:highlight w:val="none"/>
          <w:lang w:val="en-GB"/>
        </w:rPr>
        <w:t>财产保险公司资产负债管理监管指标包括沉淀资金</w:t>
      </w:r>
      <w:r>
        <w:rPr>
          <w:rFonts w:hint="eastAsia" w:ascii="仿宋_GB2312" w:hAnsi="仿宋_GB2312" w:eastAsia="仿宋_GB2312" w:cs="仿宋_GB2312"/>
          <w:sz w:val="36"/>
          <w:szCs w:val="36"/>
          <w:highlight w:val="none"/>
          <w:lang w:val="en-GB" w:eastAsia="zh-CN"/>
        </w:rPr>
        <w:t>覆盖</w:t>
      </w:r>
      <w:r>
        <w:rPr>
          <w:rFonts w:hint="eastAsia" w:ascii="仿宋_GB2312" w:hAnsi="仿宋_GB2312" w:eastAsia="仿宋_GB2312" w:cs="仿宋_GB2312"/>
          <w:sz w:val="36"/>
          <w:szCs w:val="36"/>
          <w:highlight w:val="none"/>
          <w:lang w:val="en-GB"/>
        </w:rPr>
        <w:t>率、</w:t>
      </w:r>
      <w:r>
        <w:rPr>
          <w:rFonts w:hint="eastAsia" w:ascii="仿宋_GB2312" w:hAnsi="仿宋_GB2312" w:eastAsia="仿宋_GB2312" w:cs="仿宋_GB2312"/>
          <w:sz w:val="36"/>
          <w:szCs w:val="36"/>
          <w:highlight w:val="none"/>
          <w:lang w:val="en-GB" w:eastAsia="zh-CN"/>
        </w:rPr>
        <w:t>收入覆盖率</w:t>
      </w:r>
      <w:r>
        <w:rPr>
          <w:rFonts w:hint="eastAsia" w:ascii="仿宋_GB2312" w:hAnsi="仿宋_GB2312" w:eastAsia="仿宋_GB2312" w:cs="仿宋_GB2312"/>
          <w:sz w:val="36"/>
          <w:szCs w:val="36"/>
          <w:highlight w:val="none"/>
          <w:lang w:val="en-GB"/>
        </w:rPr>
        <w:t>、</w:t>
      </w:r>
      <w:r>
        <w:rPr>
          <w:rFonts w:hint="eastAsia" w:ascii="仿宋_GB2312" w:hAnsi="仿宋_GB2312" w:eastAsia="仿宋_GB2312" w:cs="仿宋_GB2312"/>
          <w:sz w:val="36"/>
          <w:szCs w:val="36"/>
          <w:highlight w:val="none"/>
          <w:lang w:val="en-GB" w:eastAsia="zh-CN"/>
        </w:rPr>
        <w:t>压力情景下</w:t>
      </w:r>
      <w:r>
        <w:rPr>
          <w:rFonts w:hint="eastAsia" w:ascii="仿宋_GB2312" w:hAnsi="仿宋_GB2312" w:eastAsia="仿宋_GB2312" w:cs="仿宋_GB2312"/>
          <w:sz w:val="36"/>
          <w:szCs w:val="36"/>
          <w:highlight w:val="none"/>
          <w:lang w:val="en-GB"/>
        </w:rPr>
        <w:t>流动性覆盖率。</w:t>
      </w:r>
      <w:r>
        <w:rPr>
          <w:rFonts w:hint="eastAsia" w:ascii="仿宋_GB2312" w:hAnsi="仿宋_GB2312" w:eastAsia="仿宋_GB2312" w:cs="仿宋_GB2312"/>
          <w:sz w:val="36"/>
          <w:szCs w:val="36"/>
          <w:highlight w:val="none"/>
          <w:lang w:val="en-GB" w:eastAsia="zh-CN"/>
        </w:rPr>
        <w:t>其中：</w:t>
      </w:r>
    </w:p>
    <w:p>
      <w:pPr>
        <w:pStyle w:val="4"/>
        <w:keepNext w:val="0"/>
        <w:keepLines w:val="0"/>
        <w:pageBreakBefore w:val="0"/>
        <w:widowControl/>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641" w:firstLineChars="0"/>
        <w:textAlignment w:val="auto"/>
        <w:rPr>
          <w:rFonts w:hint="eastAsia" w:ascii="仿宋_GB2312" w:hAnsi="仿宋_GB2312" w:eastAsia="仿宋_GB2312" w:cs="仿宋_GB2312"/>
          <w:kern w:val="2"/>
          <w:sz w:val="36"/>
          <w:szCs w:val="36"/>
          <w:highlight w:val="none"/>
          <w:lang w:val="en-GB" w:eastAsia="zh-CN"/>
        </w:rPr>
      </w:pPr>
      <w:r>
        <w:rPr>
          <w:rFonts w:hint="eastAsia" w:ascii="仿宋_GB2312" w:hAnsi="仿宋_GB2312" w:eastAsia="仿宋_GB2312" w:cs="仿宋_GB2312"/>
          <w:sz w:val="36"/>
          <w:szCs w:val="36"/>
          <w:highlight w:val="none"/>
          <w:lang w:val="en-GB" w:eastAsia="zh-CN"/>
        </w:rPr>
        <w:t>沉淀资金覆盖率=沉淀资金</w:t>
      </w:r>
      <w:r>
        <w:rPr>
          <w:rFonts w:hint="eastAsia" w:ascii="仿宋_GB2312" w:hAnsi="仿宋_GB2312" w:eastAsia="仿宋_GB2312" w:cs="仿宋_GB2312"/>
          <w:kern w:val="2"/>
          <w:sz w:val="36"/>
          <w:szCs w:val="36"/>
          <w:highlight w:val="none"/>
          <w:lang w:val="en-GB"/>
        </w:rPr>
        <w:t>÷</w:t>
      </w:r>
      <w:r>
        <w:rPr>
          <w:rFonts w:hint="eastAsia" w:ascii="仿宋_GB2312" w:hAnsi="仿宋_GB2312" w:eastAsia="仿宋_GB2312" w:cs="仿宋_GB2312"/>
          <w:kern w:val="2"/>
          <w:sz w:val="36"/>
          <w:szCs w:val="36"/>
          <w:highlight w:val="none"/>
          <w:lang w:val="en-GB" w:eastAsia="zh-CN"/>
        </w:rPr>
        <w:t>中长期资产，</w:t>
      </w:r>
      <w:r>
        <w:rPr>
          <w:rFonts w:hint="eastAsia" w:ascii="仿宋_GB2312" w:hAnsi="仿宋_GB2312" w:eastAsia="仿宋_GB2312" w:cs="仿宋_GB2312"/>
          <w:kern w:val="2"/>
          <w:sz w:val="36"/>
          <w:szCs w:val="36"/>
          <w:highlight w:val="none"/>
          <w:lang w:val="en-GB"/>
        </w:rPr>
        <w:t>最低监管标准为不低于100%</w:t>
      </w:r>
      <w:r>
        <w:rPr>
          <w:rFonts w:hint="eastAsia" w:ascii="仿宋_GB2312" w:hAnsi="仿宋_GB2312" w:eastAsia="仿宋_GB2312" w:cs="仿宋_GB2312"/>
          <w:kern w:val="2"/>
          <w:sz w:val="36"/>
          <w:szCs w:val="36"/>
          <w:highlight w:val="none"/>
          <w:lang w:val="en-GB" w:eastAsia="zh-CN"/>
        </w:rPr>
        <w:t>。</w:t>
      </w:r>
    </w:p>
    <w:p>
      <w:pPr>
        <w:pStyle w:val="4"/>
        <w:keepNext w:val="0"/>
        <w:keepLines w:val="0"/>
        <w:pageBreakBefore w:val="0"/>
        <w:widowControl/>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641" w:firstLineChars="0"/>
        <w:textAlignment w:val="auto"/>
        <w:rPr>
          <w:rFonts w:hint="eastAsia" w:ascii="仿宋_GB2312" w:hAnsi="仿宋_GB2312" w:eastAsia="仿宋_GB2312" w:cs="仿宋_GB2312"/>
          <w:sz w:val="36"/>
          <w:szCs w:val="36"/>
          <w:highlight w:val="none"/>
          <w:lang w:val="en-GB" w:eastAsia="zh-CN"/>
        </w:rPr>
      </w:pPr>
      <w:r>
        <w:rPr>
          <w:rFonts w:hint="eastAsia" w:ascii="仿宋_GB2312" w:hAnsi="仿宋_GB2312" w:eastAsia="仿宋_GB2312" w:cs="仿宋_GB2312"/>
          <w:sz w:val="36"/>
          <w:szCs w:val="36"/>
          <w:highlight w:val="none"/>
          <w:lang w:val="en-GB" w:eastAsia="zh-CN"/>
        </w:rPr>
        <w:t>收入覆盖率=（保险服务收入+综合投资收益）</w:t>
      </w:r>
      <w:r>
        <w:rPr>
          <w:rFonts w:hint="eastAsia" w:ascii="仿宋_GB2312" w:hAnsi="仿宋_GB2312" w:eastAsia="仿宋_GB2312" w:cs="仿宋_GB2312"/>
          <w:kern w:val="2"/>
          <w:sz w:val="36"/>
          <w:szCs w:val="36"/>
          <w:highlight w:val="none"/>
          <w:lang w:val="en-GB"/>
        </w:rPr>
        <w:t>÷</w:t>
      </w:r>
      <w:r>
        <w:rPr>
          <w:rFonts w:hint="eastAsia" w:ascii="仿宋_GB2312" w:hAnsi="仿宋_GB2312" w:eastAsia="仿宋_GB2312" w:cs="仿宋_GB2312"/>
          <w:kern w:val="2"/>
          <w:sz w:val="36"/>
          <w:szCs w:val="36"/>
          <w:highlight w:val="none"/>
          <w:lang w:val="en-GB" w:eastAsia="zh-CN"/>
        </w:rPr>
        <w:t>综合成本，</w:t>
      </w:r>
      <w:r>
        <w:rPr>
          <w:rFonts w:hint="eastAsia" w:ascii="仿宋_GB2312" w:hAnsi="仿宋_GB2312" w:eastAsia="仿宋_GB2312" w:cs="仿宋_GB2312"/>
          <w:kern w:val="2"/>
          <w:sz w:val="36"/>
          <w:szCs w:val="36"/>
          <w:highlight w:val="none"/>
          <w:lang w:val="en-GB"/>
        </w:rPr>
        <w:t>最低监管标准为不低于100%</w:t>
      </w:r>
      <w:r>
        <w:rPr>
          <w:rFonts w:hint="eastAsia" w:ascii="仿宋_GB2312" w:hAnsi="仿宋_GB2312" w:eastAsia="仿宋_GB2312" w:cs="仿宋_GB2312"/>
          <w:kern w:val="2"/>
          <w:sz w:val="36"/>
          <w:szCs w:val="36"/>
          <w:highlight w:val="none"/>
          <w:lang w:val="en-GB" w:eastAsia="zh-CN"/>
        </w:rPr>
        <w:t>。</w:t>
      </w:r>
    </w:p>
    <w:p>
      <w:pPr>
        <w:pStyle w:val="4"/>
        <w:keepNext w:val="0"/>
        <w:keepLines w:val="0"/>
        <w:pageBreakBefore w:val="0"/>
        <w:widowControl/>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641" w:firstLineChars="0"/>
        <w:textAlignment w:val="auto"/>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val="en-GB" w:eastAsia="zh-CN"/>
        </w:rPr>
        <w:t>压力情景下流动性覆盖率的计算</w:t>
      </w:r>
      <w:r>
        <w:rPr>
          <w:rFonts w:hint="eastAsia" w:ascii="仿宋_GB2312" w:hAnsi="Times New Roman" w:eastAsia="仿宋_GB2312" w:cs="Times New Roman"/>
          <w:sz w:val="36"/>
          <w:szCs w:val="36"/>
          <w:highlight w:val="none"/>
          <w:lang w:eastAsia="zh-CN"/>
        </w:rPr>
        <w:t>按照国家金融监督管理总局有关流动性风险</w:t>
      </w:r>
      <w:r>
        <w:rPr>
          <w:rFonts w:hint="eastAsia" w:ascii="仿宋_GB2312" w:hAnsi="Times New Roman" w:eastAsia="仿宋_GB2312" w:cs="Times New Roman"/>
          <w:sz w:val="36"/>
          <w:szCs w:val="36"/>
          <w:highlight w:val="none"/>
        </w:rPr>
        <w:t>监管规则</w:t>
      </w:r>
      <w:r>
        <w:rPr>
          <w:rFonts w:hint="eastAsia" w:ascii="仿宋_GB2312" w:hAnsi="Times New Roman" w:eastAsia="仿宋_GB2312" w:cs="Times New Roman"/>
          <w:sz w:val="36"/>
          <w:szCs w:val="36"/>
          <w:highlight w:val="none"/>
          <w:lang w:eastAsia="zh-CN"/>
        </w:rPr>
        <w:t>执行</w:t>
      </w:r>
      <w:r>
        <w:rPr>
          <w:rFonts w:hint="eastAsia" w:ascii="仿宋_GB2312" w:hAnsi="仿宋_GB2312" w:eastAsia="仿宋_GB2312" w:cs="仿宋_GB2312"/>
          <w:kern w:val="2"/>
          <w:sz w:val="36"/>
          <w:szCs w:val="36"/>
          <w:highlight w:val="none"/>
          <w:lang w:val="en-GB" w:eastAsia="zh-CN"/>
        </w:rPr>
        <w:t>，</w:t>
      </w:r>
      <w:r>
        <w:rPr>
          <w:rFonts w:hint="eastAsia" w:ascii="仿宋_GB2312" w:hAnsi="仿宋_GB2312" w:eastAsia="仿宋_GB2312" w:cs="仿宋_GB2312"/>
          <w:kern w:val="2"/>
          <w:sz w:val="36"/>
          <w:szCs w:val="36"/>
          <w:highlight w:val="none"/>
          <w:lang w:val="en-GB"/>
        </w:rPr>
        <w:t>最低监管标准为不低于100%</w:t>
      </w:r>
      <w:r>
        <w:rPr>
          <w:rFonts w:hint="eastAsia" w:ascii="仿宋_GB2312" w:hAnsi="仿宋_GB2312" w:eastAsia="仿宋_GB2312" w:cs="仿宋_GB2312"/>
          <w:kern w:val="2"/>
          <w:sz w:val="36"/>
          <w:szCs w:val="36"/>
          <w:highlight w:val="none"/>
          <w:lang w:val="en-GB" w:eastAsia="zh-CN"/>
        </w:rPr>
        <w:t>。</w:t>
      </w:r>
    </w:p>
    <w:p>
      <w:pPr>
        <w:pStyle w:val="4"/>
        <w:keepNext w:val="0"/>
        <w:keepLines w:val="0"/>
        <w:pageBreakBefore w:val="0"/>
        <w:widowControl/>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641" w:firstLineChars="0"/>
        <w:textAlignment w:val="auto"/>
        <w:rPr>
          <w:rFonts w:hint="eastAsia" w:ascii="仿宋_GB2312" w:hAnsi="仿宋_GB2312" w:eastAsia="仿宋_GB2312" w:cs="仿宋_GB2312"/>
          <w:sz w:val="36"/>
          <w:szCs w:val="36"/>
          <w:highlight w:val="none"/>
          <w:lang w:val="en-GB" w:eastAsia="zh-CN"/>
        </w:rPr>
      </w:pPr>
      <w:r>
        <w:rPr>
          <w:rFonts w:hint="eastAsia" w:ascii="仿宋_GB2312" w:hAnsi="仿宋_GB2312" w:eastAsia="仿宋_GB2312" w:cs="仿宋_GB2312"/>
          <w:kern w:val="0"/>
          <w:sz w:val="36"/>
          <w:szCs w:val="36"/>
          <w:highlight w:val="none"/>
          <w:lang w:val="en-US" w:eastAsia="zh-CN" w:bidi="ar-SA"/>
        </w:rPr>
        <w:t xml:space="preserve">第三十五条【人身险公司监管指标】 </w:t>
      </w:r>
      <w:r>
        <w:rPr>
          <w:rFonts w:hint="eastAsia" w:ascii="仿宋_GB2312" w:hAnsi="仿宋_GB2312" w:eastAsia="仿宋_GB2312" w:cs="仿宋_GB2312"/>
          <w:sz w:val="36"/>
          <w:szCs w:val="36"/>
          <w:highlight w:val="none"/>
          <w:lang w:val="en-GB"/>
        </w:rPr>
        <w:t>人身保险公司资产负债管理监管指标包括有效久期缺口，</w:t>
      </w:r>
      <w:r>
        <w:rPr>
          <w:rFonts w:hint="eastAsia" w:ascii="仿宋_GB2312" w:hAnsi="仿宋_GB2312" w:eastAsia="仿宋_GB2312" w:cs="仿宋_GB2312"/>
          <w:sz w:val="36"/>
          <w:szCs w:val="36"/>
          <w:highlight w:val="none"/>
          <w:lang w:val="en-GB" w:eastAsia="zh-CN"/>
        </w:rPr>
        <w:t>综合投资收益覆盖率、净投资收益覆盖率、压力情景下</w:t>
      </w:r>
      <w:r>
        <w:rPr>
          <w:rFonts w:hint="eastAsia" w:ascii="仿宋_GB2312" w:hAnsi="仿宋_GB2312" w:eastAsia="仿宋_GB2312" w:cs="仿宋_GB2312"/>
          <w:sz w:val="36"/>
          <w:szCs w:val="36"/>
          <w:highlight w:val="none"/>
          <w:lang w:val="en-GB"/>
        </w:rPr>
        <w:t>流动性覆盖率。</w:t>
      </w:r>
      <w:r>
        <w:rPr>
          <w:rFonts w:hint="eastAsia" w:ascii="仿宋_GB2312" w:hAnsi="仿宋_GB2312" w:eastAsia="仿宋_GB2312" w:cs="仿宋_GB2312"/>
          <w:sz w:val="36"/>
          <w:szCs w:val="36"/>
          <w:highlight w:val="none"/>
          <w:lang w:val="en-GB" w:eastAsia="zh-CN"/>
        </w:rPr>
        <w:t>其中：</w:t>
      </w:r>
    </w:p>
    <w:p>
      <w:pPr>
        <w:pStyle w:val="4"/>
        <w:keepNext w:val="0"/>
        <w:keepLines w:val="0"/>
        <w:pageBreakBefore w:val="0"/>
        <w:widowControl/>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720" w:firstLineChars="200"/>
        <w:textAlignment w:val="auto"/>
        <w:rPr>
          <w:rFonts w:hint="eastAsia" w:ascii="仿宋_GB2312" w:hAnsi="仿宋_GB2312" w:eastAsia="仿宋_GB2312" w:cs="仿宋_GB2312"/>
          <w:sz w:val="36"/>
          <w:szCs w:val="36"/>
          <w:highlight w:val="none"/>
          <w:lang w:eastAsia="zh-CN"/>
        </w:rPr>
      </w:pPr>
      <w:r>
        <w:rPr>
          <w:rFonts w:hint="eastAsia" w:ascii="仿宋_GB2312" w:hAnsi="仿宋_GB2312" w:eastAsia="仿宋_GB2312" w:cs="仿宋_GB2312"/>
          <w:sz w:val="36"/>
          <w:szCs w:val="36"/>
          <w:highlight w:val="none"/>
          <w:lang w:val="en-GB" w:eastAsia="zh-CN"/>
        </w:rPr>
        <w:t>有效久期缺口</w:t>
      </w:r>
      <w:r>
        <w:rPr>
          <w:rFonts w:hint="eastAsia" w:ascii="仿宋_GB2312" w:hAnsi="仿宋_GB2312" w:eastAsia="仿宋_GB2312" w:cs="仿宋_GB2312"/>
          <w:sz w:val="36"/>
          <w:szCs w:val="36"/>
          <w:highlight w:val="none"/>
          <w:lang w:val="en-US" w:eastAsia="zh-CN"/>
        </w:rPr>
        <w:t>=现金流流入有效久期-现金流流出有效久期</w:t>
      </w:r>
      <w:r>
        <w:rPr>
          <w:rFonts w:hint="eastAsia" w:hAnsi="DejaVu Math TeX Gyre" w:eastAsia="仿宋_GB2312" w:cs="仿宋_GB2312"/>
          <w:b w:val="0"/>
          <w:i w:val="0"/>
          <w:sz w:val="36"/>
          <w:szCs w:val="36"/>
          <w:highlight w:val="none"/>
          <w:lang w:val="en-US" w:eastAsia="zh-CN"/>
        </w:rPr>
        <w:t>，</w:t>
      </w:r>
      <w:r>
        <w:rPr>
          <w:rFonts w:hint="eastAsia" w:ascii="仿宋_GB2312" w:hAnsi="仿宋_GB2312" w:eastAsia="仿宋_GB2312" w:cs="仿宋_GB2312"/>
          <w:sz w:val="36"/>
          <w:szCs w:val="36"/>
          <w:highlight w:val="none"/>
          <w:lang w:eastAsia="zh-CN"/>
        </w:rPr>
        <w:t>最低监管标准为</w:t>
      </w:r>
      <w:r>
        <w:rPr>
          <w:rFonts w:hint="eastAsia" w:ascii="仿宋_GB2312" w:hAnsi="仿宋_GB2312" w:eastAsia="仿宋_GB2312" w:cs="仿宋_GB2312"/>
          <w:sz w:val="36"/>
          <w:szCs w:val="36"/>
          <w:highlight w:val="none"/>
        </w:rPr>
        <w:t>不高于5年或低于-5年</w:t>
      </w:r>
      <w:r>
        <w:rPr>
          <w:rFonts w:hint="eastAsia" w:ascii="仿宋_GB2312" w:hAnsi="仿宋_GB2312" w:eastAsia="仿宋_GB2312" w:cs="仿宋_GB2312"/>
          <w:sz w:val="36"/>
          <w:szCs w:val="36"/>
          <w:highlight w:val="none"/>
          <w:lang w:eastAsia="zh-CN"/>
        </w:rPr>
        <w:t>；</w:t>
      </w:r>
      <w:r>
        <w:rPr>
          <w:rFonts w:hint="eastAsia" w:ascii="仿宋_GB2312" w:hAnsi="仿宋_GB2312" w:eastAsia="仿宋_GB2312" w:cs="仿宋_GB2312"/>
          <w:sz w:val="36"/>
          <w:szCs w:val="36"/>
          <w:highlight w:val="none"/>
        </w:rPr>
        <w:t>对于缺口低于-5年的</w:t>
      </w:r>
      <w:r>
        <w:rPr>
          <w:rFonts w:hint="eastAsia" w:ascii="仿宋_GB2312" w:hAnsi="仿宋_GB2312" w:eastAsia="仿宋_GB2312" w:cs="仿宋_GB2312"/>
          <w:sz w:val="36"/>
          <w:szCs w:val="36"/>
          <w:highlight w:val="none"/>
          <w:lang w:eastAsia="zh-CN"/>
        </w:rPr>
        <w:t>人身保险公司</w:t>
      </w:r>
      <w:r>
        <w:rPr>
          <w:rFonts w:hint="eastAsia" w:ascii="仿宋_GB2312" w:hAnsi="仿宋_GB2312" w:eastAsia="仿宋_GB2312" w:cs="仿宋_GB2312"/>
          <w:sz w:val="36"/>
          <w:szCs w:val="36"/>
          <w:highlight w:val="none"/>
        </w:rPr>
        <w:t>，现金流流入有效久期不低于5年</w:t>
      </w:r>
      <w:r>
        <w:rPr>
          <w:rFonts w:hint="eastAsia" w:ascii="仿宋_GB2312" w:hAnsi="仿宋_GB2312" w:eastAsia="仿宋_GB2312" w:cs="仿宋_GB2312"/>
          <w:sz w:val="36"/>
          <w:szCs w:val="36"/>
          <w:highlight w:val="none"/>
          <w:lang w:eastAsia="zh-CN"/>
        </w:rPr>
        <w:t>。</w:t>
      </w:r>
    </w:p>
    <w:p>
      <w:pPr>
        <w:pStyle w:val="4"/>
        <w:keepNext w:val="0"/>
        <w:keepLines w:val="0"/>
        <w:pageBreakBefore w:val="0"/>
        <w:widowControl/>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720" w:firstLineChars="200"/>
        <w:textAlignment w:val="auto"/>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eastAsia="zh-CN"/>
        </w:rPr>
        <w:t>综合投资收益覆盖率</w:t>
      </w:r>
      <w:r>
        <w:rPr>
          <w:rFonts w:hint="eastAsia" w:ascii="仿宋_GB2312" w:hAnsi="仿宋_GB2312" w:eastAsia="仿宋_GB2312" w:cs="仿宋_GB2312"/>
          <w:sz w:val="36"/>
          <w:szCs w:val="36"/>
          <w:highlight w:val="none"/>
          <w:lang w:val="en-US" w:eastAsia="zh-CN"/>
        </w:rPr>
        <w:t>=综合投资收益</w:t>
      </w:r>
      <w:r>
        <w:rPr>
          <w:rFonts w:hint="eastAsia" w:ascii="仿宋_GB2312" w:hAnsi="仿宋_GB2312" w:eastAsia="仿宋_GB2312" w:cs="仿宋_GB2312"/>
          <w:kern w:val="2"/>
          <w:sz w:val="36"/>
          <w:szCs w:val="36"/>
          <w:highlight w:val="none"/>
          <w:lang w:val="en-GB"/>
        </w:rPr>
        <w:t>÷</w:t>
      </w:r>
      <w:r>
        <w:rPr>
          <w:rFonts w:hint="eastAsia" w:ascii="仿宋_GB2312" w:hAnsi="仿宋_GB2312" w:eastAsia="仿宋_GB2312" w:cs="仿宋_GB2312"/>
          <w:kern w:val="2"/>
          <w:sz w:val="36"/>
          <w:szCs w:val="36"/>
          <w:highlight w:val="none"/>
          <w:lang w:val="en-GB" w:eastAsia="zh-CN"/>
        </w:rPr>
        <w:t>负债资金成本，</w:t>
      </w:r>
      <w:r>
        <w:rPr>
          <w:rFonts w:hint="eastAsia" w:ascii="仿宋_GB2312" w:hAnsi="仿宋_GB2312" w:eastAsia="仿宋_GB2312" w:cs="仿宋_GB2312"/>
          <w:kern w:val="2"/>
          <w:sz w:val="36"/>
          <w:szCs w:val="36"/>
          <w:highlight w:val="none"/>
          <w:lang w:val="en-GB"/>
        </w:rPr>
        <w:t>最低监管标准为不低于100%</w:t>
      </w:r>
      <w:r>
        <w:rPr>
          <w:rFonts w:hint="eastAsia" w:ascii="仿宋_GB2312" w:hAnsi="仿宋_GB2312" w:eastAsia="仿宋_GB2312" w:cs="仿宋_GB2312"/>
          <w:kern w:val="2"/>
          <w:sz w:val="36"/>
          <w:szCs w:val="36"/>
          <w:highlight w:val="none"/>
          <w:lang w:val="en-GB" w:eastAsia="zh-CN"/>
        </w:rPr>
        <w:t>。</w:t>
      </w:r>
    </w:p>
    <w:p>
      <w:pPr>
        <w:pStyle w:val="4"/>
        <w:keepNext w:val="0"/>
        <w:keepLines w:val="0"/>
        <w:pageBreakBefore w:val="0"/>
        <w:widowControl/>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720" w:firstLineChars="200"/>
        <w:textAlignment w:val="auto"/>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eastAsia="zh-CN"/>
        </w:rPr>
        <w:t>净投资收益覆盖率</w:t>
      </w:r>
      <w:r>
        <w:rPr>
          <w:rFonts w:hint="eastAsia" w:ascii="仿宋_GB2312" w:hAnsi="仿宋_GB2312" w:eastAsia="仿宋_GB2312" w:cs="仿宋_GB2312"/>
          <w:sz w:val="36"/>
          <w:szCs w:val="36"/>
          <w:highlight w:val="none"/>
          <w:lang w:val="en-US" w:eastAsia="zh-CN"/>
        </w:rPr>
        <w:t>=净投资收益</w:t>
      </w:r>
      <w:r>
        <w:rPr>
          <w:rFonts w:hint="eastAsia" w:ascii="仿宋_GB2312" w:hAnsi="仿宋_GB2312" w:eastAsia="仿宋_GB2312" w:cs="仿宋_GB2312"/>
          <w:kern w:val="2"/>
          <w:sz w:val="36"/>
          <w:szCs w:val="36"/>
          <w:highlight w:val="none"/>
          <w:lang w:val="en-GB"/>
        </w:rPr>
        <w:t>÷</w:t>
      </w:r>
      <w:r>
        <w:rPr>
          <w:rFonts w:hint="eastAsia" w:ascii="仿宋_GB2312" w:hAnsi="仿宋_GB2312" w:eastAsia="仿宋_GB2312" w:cs="仿宋_GB2312"/>
          <w:kern w:val="2"/>
          <w:sz w:val="36"/>
          <w:szCs w:val="36"/>
          <w:highlight w:val="none"/>
          <w:lang w:val="en-GB" w:eastAsia="zh-CN"/>
        </w:rPr>
        <w:t>负债保证成本，</w:t>
      </w:r>
      <w:r>
        <w:rPr>
          <w:rFonts w:hint="eastAsia" w:ascii="仿宋_GB2312" w:hAnsi="仿宋_GB2312" w:eastAsia="仿宋_GB2312" w:cs="仿宋_GB2312"/>
          <w:kern w:val="2"/>
          <w:sz w:val="36"/>
          <w:szCs w:val="36"/>
          <w:highlight w:val="none"/>
          <w:lang w:val="en-GB"/>
        </w:rPr>
        <w:t>最低监管标准为不低于100%</w:t>
      </w:r>
      <w:r>
        <w:rPr>
          <w:rFonts w:hint="eastAsia" w:ascii="仿宋_GB2312" w:hAnsi="仿宋_GB2312" w:eastAsia="仿宋_GB2312" w:cs="仿宋_GB2312"/>
          <w:kern w:val="2"/>
          <w:sz w:val="36"/>
          <w:szCs w:val="36"/>
          <w:highlight w:val="none"/>
          <w:lang w:val="en-GB" w:eastAsia="zh-CN"/>
        </w:rPr>
        <w:t>。</w:t>
      </w:r>
    </w:p>
    <w:p>
      <w:pPr>
        <w:pStyle w:val="4"/>
        <w:keepNext w:val="0"/>
        <w:keepLines w:val="0"/>
        <w:pageBreakBefore w:val="0"/>
        <w:widowControl/>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641" w:firstLineChars="0"/>
        <w:textAlignment w:val="auto"/>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val="en-GB" w:eastAsia="zh-CN"/>
        </w:rPr>
        <w:t>压力情景下流动性覆盖率的计算</w:t>
      </w:r>
      <w:r>
        <w:rPr>
          <w:rFonts w:hint="eastAsia" w:ascii="仿宋_GB2312" w:hAnsi="Times New Roman" w:eastAsia="仿宋_GB2312" w:cs="Times New Roman"/>
          <w:sz w:val="36"/>
          <w:szCs w:val="36"/>
          <w:highlight w:val="none"/>
          <w:lang w:eastAsia="zh-CN"/>
        </w:rPr>
        <w:t>按照国家金融监督管理总局有关流动性风险</w:t>
      </w:r>
      <w:r>
        <w:rPr>
          <w:rFonts w:hint="eastAsia" w:ascii="仿宋_GB2312" w:hAnsi="Times New Roman" w:eastAsia="仿宋_GB2312" w:cs="Times New Roman"/>
          <w:sz w:val="36"/>
          <w:szCs w:val="36"/>
          <w:highlight w:val="none"/>
        </w:rPr>
        <w:t>监管规则</w:t>
      </w:r>
      <w:r>
        <w:rPr>
          <w:rFonts w:hint="eastAsia" w:ascii="仿宋_GB2312" w:hAnsi="Times New Roman" w:eastAsia="仿宋_GB2312" w:cs="Times New Roman"/>
          <w:sz w:val="36"/>
          <w:szCs w:val="36"/>
          <w:highlight w:val="none"/>
          <w:lang w:eastAsia="zh-CN"/>
        </w:rPr>
        <w:t>执行</w:t>
      </w:r>
      <w:r>
        <w:rPr>
          <w:rFonts w:hint="eastAsia" w:ascii="仿宋_GB2312" w:hAnsi="仿宋_GB2312" w:eastAsia="仿宋_GB2312" w:cs="仿宋_GB2312"/>
          <w:kern w:val="2"/>
          <w:sz w:val="36"/>
          <w:szCs w:val="36"/>
          <w:highlight w:val="none"/>
          <w:lang w:val="en-GB" w:eastAsia="zh-CN"/>
        </w:rPr>
        <w:t>，</w:t>
      </w:r>
      <w:r>
        <w:rPr>
          <w:rFonts w:hint="eastAsia" w:ascii="仿宋_GB2312" w:hAnsi="仿宋_GB2312" w:eastAsia="仿宋_GB2312" w:cs="仿宋_GB2312"/>
          <w:kern w:val="2"/>
          <w:sz w:val="36"/>
          <w:szCs w:val="36"/>
          <w:highlight w:val="none"/>
          <w:lang w:val="en-GB"/>
        </w:rPr>
        <w:t>最低监管标准为不低于100%</w:t>
      </w:r>
      <w:r>
        <w:rPr>
          <w:rFonts w:hint="eastAsia" w:ascii="仿宋_GB2312" w:hAnsi="仿宋_GB2312" w:eastAsia="仿宋_GB2312" w:cs="仿宋_GB2312"/>
          <w:kern w:val="2"/>
          <w:sz w:val="36"/>
          <w:szCs w:val="36"/>
          <w:highlight w:val="none"/>
          <w:lang w:val="en-GB" w:eastAsia="zh-CN"/>
        </w:rPr>
        <w:t>。</w:t>
      </w:r>
    </w:p>
    <w:p>
      <w:pPr>
        <w:pStyle w:val="4"/>
        <w:widowControl/>
        <w:numPr>
          <w:ilvl w:val="0"/>
          <w:numId w:val="0"/>
        </w:numPr>
        <w:shd w:val="clear" w:color="auto" w:fill="FEFEFE"/>
        <w:adjustRightInd w:val="0"/>
        <w:snapToGrid w:val="0"/>
        <w:spacing w:beforeLines="0" w:afterLines="0" w:line="600" w:lineRule="exact"/>
        <w:ind w:right="119" w:firstLine="641" w:firstLineChars="0"/>
        <w:rPr>
          <w:rFonts w:hint="eastAsia" w:ascii="仿宋_GB2312" w:hAnsi="仿宋_GB2312" w:eastAsia="仿宋_GB2312" w:cs="仿宋_GB2312"/>
          <w:sz w:val="36"/>
          <w:szCs w:val="36"/>
          <w:highlight w:val="none"/>
          <w:lang w:val="en-GB"/>
        </w:rPr>
      </w:pPr>
      <w:r>
        <w:rPr>
          <w:rFonts w:hint="eastAsia" w:ascii="仿宋_GB2312" w:hAnsi="仿宋_GB2312" w:eastAsia="仿宋_GB2312" w:cs="仿宋_GB2312"/>
          <w:kern w:val="0"/>
          <w:sz w:val="36"/>
          <w:szCs w:val="36"/>
          <w:highlight w:val="none"/>
          <w:lang w:val="en-US" w:eastAsia="zh-CN" w:bidi="ar-SA"/>
        </w:rPr>
        <w:t xml:space="preserve">第三十六条【财险公司监测指标】 </w:t>
      </w:r>
      <w:r>
        <w:rPr>
          <w:rFonts w:hint="eastAsia" w:ascii="仿宋_GB2312" w:hAnsi="仿宋_GB2312" w:eastAsia="仿宋_GB2312" w:cs="仿宋_GB2312"/>
          <w:sz w:val="36"/>
          <w:szCs w:val="36"/>
          <w:highlight w:val="none"/>
          <w:lang w:val="en-GB"/>
        </w:rPr>
        <w:t>财产保险公司资产负债管理监测指标包括</w:t>
      </w:r>
      <w:r>
        <w:rPr>
          <w:rFonts w:hint="eastAsia" w:ascii="仿宋_GB2312" w:hAnsi="仿宋_GB2312" w:eastAsia="仿宋_GB2312" w:cs="仿宋_GB2312"/>
          <w:sz w:val="36"/>
          <w:szCs w:val="36"/>
          <w:highlight w:val="none"/>
          <w:lang w:val="en-GB" w:eastAsia="zh-CN"/>
        </w:rPr>
        <w:t>利差一（</w:t>
      </w:r>
      <w:r>
        <w:rPr>
          <w:rFonts w:hint="eastAsia" w:ascii="仿宋_GB2312" w:hAnsi="仿宋_GB2312" w:eastAsia="仿宋_GB2312" w:cs="仿宋_GB2312"/>
          <w:sz w:val="36"/>
          <w:szCs w:val="36"/>
          <w:highlight w:val="none"/>
          <w:lang w:val="en-GB"/>
        </w:rPr>
        <w:t>综合投资收益率</w:t>
      </w:r>
      <w:r>
        <w:rPr>
          <w:rFonts w:hint="eastAsia" w:ascii="仿宋_GB2312" w:hAnsi="仿宋_GB2312" w:eastAsia="仿宋_GB2312" w:cs="仿宋_GB2312"/>
          <w:sz w:val="36"/>
          <w:szCs w:val="36"/>
          <w:highlight w:val="none"/>
          <w:lang w:val="en-GB" w:eastAsia="zh-CN"/>
        </w:rPr>
        <w:t>与</w:t>
      </w:r>
      <w:r>
        <w:rPr>
          <w:rFonts w:hint="eastAsia" w:ascii="仿宋_GB2312" w:hAnsi="仿宋_GB2312" w:eastAsia="仿宋_GB2312" w:cs="仿宋_GB2312"/>
          <w:sz w:val="36"/>
          <w:szCs w:val="36"/>
          <w:highlight w:val="none"/>
          <w:lang w:val="en-GB"/>
        </w:rPr>
        <w:t>负债资金成本率</w:t>
      </w:r>
      <w:r>
        <w:rPr>
          <w:rFonts w:hint="eastAsia" w:ascii="仿宋_GB2312" w:hAnsi="仿宋_GB2312" w:eastAsia="仿宋_GB2312" w:cs="仿宋_GB2312"/>
          <w:sz w:val="36"/>
          <w:szCs w:val="36"/>
          <w:highlight w:val="none"/>
          <w:lang w:val="en-GB" w:eastAsia="zh-CN"/>
        </w:rPr>
        <w:t>差额）、利差二（</w:t>
      </w:r>
      <w:r>
        <w:rPr>
          <w:rFonts w:hint="eastAsia" w:ascii="仿宋_GB2312" w:hAnsi="仿宋_GB2312" w:eastAsia="仿宋_GB2312" w:cs="仿宋_GB2312"/>
          <w:sz w:val="36"/>
          <w:szCs w:val="36"/>
          <w:highlight w:val="none"/>
          <w:lang w:val="en-GB"/>
        </w:rPr>
        <w:t>净投资收益率</w:t>
      </w:r>
      <w:r>
        <w:rPr>
          <w:rFonts w:hint="eastAsia" w:ascii="仿宋_GB2312" w:hAnsi="仿宋_GB2312" w:eastAsia="仿宋_GB2312" w:cs="仿宋_GB2312"/>
          <w:sz w:val="36"/>
          <w:szCs w:val="36"/>
          <w:highlight w:val="none"/>
          <w:lang w:val="en-GB" w:eastAsia="zh-CN"/>
        </w:rPr>
        <w:t>与</w:t>
      </w:r>
      <w:r>
        <w:rPr>
          <w:rFonts w:hint="eastAsia" w:ascii="仿宋_GB2312" w:hAnsi="仿宋_GB2312" w:eastAsia="仿宋_GB2312" w:cs="仿宋_GB2312"/>
          <w:sz w:val="36"/>
          <w:szCs w:val="36"/>
          <w:highlight w:val="none"/>
          <w:lang w:val="en-GB"/>
        </w:rPr>
        <w:t>负债资金成本率</w:t>
      </w:r>
      <w:r>
        <w:rPr>
          <w:rFonts w:hint="eastAsia" w:ascii="仿宋_GB2312" w:hAnsi="仿宋_GB2312" w:eastAsia="仿宋_GB2312" w:cs="仿宋_GB2312"/>
          <w:sz w:val="36"/>
          <w:szCs w:val="36"/>
          <w:highlight w:val="none"/>
          <w:lang w:val="en-GB" w:eastAsia="zh-CN"/>
        </w:rPr>
        <w:t>差额），以及压力情景下的利差。</w:t>
      </w:r>
    </w:p>
    <w:p>
      <w:pPr>
        <w:pStyle w:val="4"/>
        <w:widowControl/>
        <w:numPr>
          <w:ilvl w:val="255"/>
          <w:numId w:val="0"/>
        </w:numPr>
        <w:shd w:val="clear" w:color="auto" w:fill="FEFEFE"/>
        <w:adjustRightInd w:val="0"/>
        <w:snapToGrid w:val="0"/>
        <w:spacing w:beforeLines="0" w:afterLines="0" w:line="600" w:lineRule="exact"/>
        <w:ind w:right="119" w:firstLine="720" w:firstLineChars="200"/>
        <w:rPr>
          <w:rFonts w:hint="eastAsia" w:ascii="仿宋_GB2312" w:hAnsi="仿宋_GB2312" w:eastAsia="仿宋_GB2312" w:cs="仿宋_GB2312"/>
          <w:sz w:val="36"/>
          <w:szCs w:val="36"/>
          <w:highlight w:val="none"/>
          <w:lang w:val="en-GB"/>
        </w:rPr>
      </w:pPr>
      <w:r>
        <w:rPr>
          <w:rFonts w:hint="eastAsia" w:ascii="仿宋_GB2312" w:hAnsi="仿宋_GB2312" w:eastAsia="仿宋_GB2312" w:cs="仿宋_GB2312"/>
          <w:sz w:val="36"/>
          <w:szCs w:val="36"/>
          <w:highlight w:val="none"/>
          <w:lang w:val="en-GB" w:eastAsia="zh-CN"/>
        </w:rPr>
        <w:t>第三十七条【人身险</w:t>
      </w:r>
      <w:r>
        <w:rPr>
          <w:rFonts w:hint="eastAsia" w:ascii="仿宋_GB2312" w:hAnsi="仿宋_GB2312" w:eastAsia="仿宋_GB2312" w:cs="仿宋_GB2312"/>
          <w:kern w:val="0"/>
          <w:sz w:val="36"/>
          <w:szCs w:val="36"/>
          <w:highlight w:val="none"/>
          <w:lang w:val="en-US" w:eastAsia="zh-CN" w:bidi="ar-SA"/>
        </w:rPr>
        <w:t>公司监测指标</w:t>
      </w:r>
      <w:r>
        <w:rPr>
          <w:rFonts w:hint="eastAsia" w:ascii="仿宋_GB2312" w:hAnsi="仿宋_GB2312" w:eastAsia="仿宋_GB2312" w:cs="仿宋_GB2312"/>
          <w:sz w:val="36"/>
          <w:szCs w:val="36"/>
          <w:highlight w:val="none"/>
          <w:lang w:val="en-GB" w:eastAsia="zh-CN"/>
        </w:rPr>
        <w:t>】</w:t>
      </w:r>
      <w:r>
        <w:rPr>
          <w:rFonts w:hint="eastAsia" w:ascii="仿宋_GB2312" w:hAnsi="仿宋_GB2312" w:eastAsia="仿宋_GB2312" w:cs="仿宋_GB2312"/>
          <w:sz w:val="36"/>
          <w:szCs w:val="36"/>
          <w:highlight w:val="none"/>
          <w:lang w:val="en-US" w:eastAsia="zh-CN"/>
        </w:rPr>
        <w:t xml:space="preserve"> </w:t>
      </w:r>
      <w:r>
        <w:rPr>
          <w:rFonts w:hint="eastAsia" w:ascii="仿宋_GB2312" w:hAnsi="仿宋_GB2312" w:eastAsia="仿宋_GB2312" w:cs="仿宋_GB2312"/>
          <w:sz w:val="36"/>
          <w:szCs w:val="36"/>
          <w:highlight w:val="none"/>
          <w:lang w:val="en-GB"/>
        </w:rPr>
        <w:t>人身保险公司资产负债管理监测指标包括</w:t>
      </w:r>
      <w:r>
        <w:rPr>
          <w:rFonts w:hint="eastAsia" w:ascii="仿宋_GB2312" w:hAnsi="仿宋_GB2312" w:eastAsia="仿宋_GB2312" w:cs="仿宋_GB2312"/>
          <w:sz w:val="36"/>
          <w:szCs w:val="36"/>
          <w:highlight w:val="none"/>
          <w:lang w:val="en-GB" w:eastAsia="zh-CN"/>
        </w:rPr>
        <w:t>修正久期缺口、基点价值变动率、利差三（</w:t>
      </w:r>
      <w:r>
        <w:rPr>
          <w:rFonts w:hint="eastAsia" w:ascii="仿宋_GB2312" w:hAnsi="仿宋_GB2312" w:eastAsia="仿宋_GB2312" w:cs="仿宋_GB2312"/>
          <w:sz w:val="36"/>
          <w:szCs w:val="36"/>
          <w:highlight w:val="none"/>
          <w:lang w:val="en-GB"/>
        </w:rPr>
        <w:t>新</w:t>
      </w:r>
      <w:r>
        <w:rPr>
          <w:rFonts w:hint="eastAsia" w:ascii="仿宋_GB2312" w:hAnsi="仿宋_GB2312" w:eastAsia="仿宋_GB2312" w:cs="仿宋_GB2312"/>
          <w:sz w:val="36"/>
          <w:szCs w:val="36"/>
          <w:highlight w:val="none"/>
          <w:lang w:val="en-GB" w:eastAsia="zh-CN"/>
        </w:rPr>
        <w:t>增</w:t>
      </w:r>
      <w:r>
        <w:rPr>
          <w:rFonts w:hint="eastAsia" w:ascii="仿宋_GB2312" w:hAnsi="仿宋_GB2312" w:eastAsia="仿宋_GB2312" w:cs="仿宋_GB2312"/>
          <w:sz w:val="36"/>
          <w:szCs w:val="36"/>
          <w:highlight w:val="none"/>
          <w:lang w:val="en-GB"/>
        </w:rPr>
        <w:t>固定收益类资产到期收益率</w:t>
      </w:r>
      <w:r>
        <w:rPr>
          <w:rFonts w:hint="eastAsia" w:ascii="仿宋_GB2312" w:hAnsi="仿宋_GB2312" w:eastAsia="仿宋_GB2312" w:cs="仿宋_GB2312"/>
          <w:sz w:val="36"/>
          <w:szCs w:val="36"/>
          <w:highlight w:val="none"/>
          <w:lang w:val="en-GB" w:eastAsia="zh-CN"/>
        </w:rPr>
        <w:t>与</w:t>
      </w:r>
      <w:r>
        <w:rPr>
          <w:rFonts w:hint="eastAsia" w:ascii="仿宋_GB2312" w:hAnsi="仿宋_GB2312" w:eastAsia="仿宋_GB2312" w:cs="仿宋_GB2312"/>
          <w:sz w:val="36"/>
          <w:szCs w:val="36"/>
          <w:highlight w:val="none"/>
          <w:lang w:val="en-GB"/>
        </w:rPr>
        <w:t>新业务负债最低要求回报率</w:t>
      </w:r>
      <w:r>
        <w:rPr>
          <w:rFonts w:hint="eastAsia" w:ascii="仿宋_GB2312" w:hAnsi="仿宋_GB2312" w:eastAsia="仿宋_GB2312" w:cs="仿宋_GB2312"/>
          <w:sz w:val="36"/>
          <w:szCs w:val="36"/>
          <w:highlight w:val="none"/>
          <w:lang w:val="en-GB" w:eastAsia="zh-CN"/>
        </w:rPr>
        <w:t>差额）、利差四（</w:t>
      </w:r>
      <w:r>
        <w:rPr>
          <w:rFonts w:hint="eastAsia" w:ascii="仿宋_GB2312" w:hAnsi="仿宋_GB2312" w:eastAsia="仿宋_GB2312" w:cs="仿宋_GB2312"/>
          <w:sz w:val="36"/>
          <w:szCs w:val="36"/>
          <w:highlight w:val="none"/>
          <w:lang w:val="en-GB"/>
        </w:rPr>
        <w:t>会计投资收益率</w:t>
      </w:r>
      <w:r>
        <w:rPr>
          <w:rFonts w:hint="eastAsia" w:ascii="仿宋_GB2312" w:hAnsi="仿宋_GB2312" w:eastAsia="仿宋_GB2312" w:cs="仿宋_GB2312"/>
          <w:sz w:val="36"/>
          <w:szCs w:val="36"/>
          <w:highlight w:val="none"/>
          <w:lang w:val="en-GB" w:eastAsia="zh-CN"/>
        </w:rPr>
        <w:t>与</w:t>
      </w:r>
      <w:r>
        <w:rPr>
          <w:rFonts w:hint="eastAsia" w:ascii="仿宋_GB2312" w:hAnsi="仿宋_GB2312" w:eastAsia="仿宋_GB2312" w:cs="仿宋_GB2312"/>
          <w:sz w:val="36"/>
          <w:szCs w:val="36"/>
          <w:highlight w:val="none"/>
          <w:lang w:val="en-GB"/>
        </w:rPr>
        <w:t>负债</w:t>
      </w:r>
      <w:r>
        <w:rPr>
          <w:rFonts w:hint="eastAsia" w:ascii="仿宋_GB2312" w:hAnsi="仿宋_GB2312" w:eastAsia="仿宋_GB2312" w:cs="仿宋_GB2312"/>
          <w:sz w:val="36"/>
          <w:szCs w:val="36"/>
          <w:highlight w:val="none"/>
          <w:lang w:val="en-GB" w:eastAsia="zh-CN"/>
        </w:rPr>
        <w:t>保证</w:t>
      </w:r>
      <w:r>
        <w:rPr>
          <w:rFonts w:hint="eastAsia" w:ascii="仿宋_GB2312" w:hAnsi="仿宋_GB2312" w:eastAsia="仿宋_GB2312" w:cs="仿宋_GB2312"/>
          <w:sz w:val="36"/>
          <w:szCs w:val="36"/>
          <w:highlight w:val="none"/>
          <w:lang w:val="en-GB"/>
        </w:rPr>
        <w:t>成本率</w:t>
      </w:r>
      <w:r>
        <w:rPr>
          <w:rFonts w:hint="eastAsia" w:ascii="仿宋_GB2312" w:hAnsi="仿宋_GB2312" w:eastAsia="仿宋_GB2312" w:cs="仿宋_GB2312"/>
          <w:sz w:val="36"/>
          <w:szCs w:val="36"/>
          <w:highlight w:val="none"/>
          <w:lang w:val="en-GB" w:eastAsia="zh-CN"/>
        </w:rPr>
        <w:t>差额）、压力情景下的利差、流动性匹配率，以及分</w:t>
      </w:r>
      <w:r>
        <w:rPr>
          <w:rFonts w:hint="eastAsia" w:ascii="仿宋_GB2312" w:hAnsi="微软雅黑" w:eastAsia="仿宋_GB2312" w:cs="宋体"/>
          <w:kern w:val="0"/>
          <w:sz w:val="36"/>
          <w:szCs w:val="36"/>
          <w:highlight w:val="none"/>
          <w:lang w:eastAsia="zh-CN"/>
        </w:rPr>
        <w:t>大类</w:t>
      </w:r>
      <w:r>
        <w:rPr>
          <w:rFonts w:hint="eastAsia" w:ascii="仿宋_GB2312" w:hAnsi="仿宋_GB2312" w:eastAsia="仿宋_GB2312" w:cs="仿宋_GB2312"/>
          <w:sz w:val="36"/>
          <w:szCs w:val="36"/>
          <w:highlight w:val="none"/>
          <w:lang w:val="en-GB" w:eastAsia="zh-CN"/>
        </w:rPr>
        <w:t>账户的成本收益匹配指标和流动性匹配指标</w:t>
      </w:r>
      <w:r>
        <w:rPr>
          <w:rFonts w:hint="eastAsia" w:ascii="仿宋_GB2312" w:hAnsi="仿宋_GB2312" w:eastAsia="仿宋_GB2312" w:cs="仿宋_GB2312"/>
          <w:sz w:val="36"/>
          <w:szCs w:val="36"/>
          <w:highlight w:val="none"/>
          <w:lang w:val="en-GB"/>
        </w:rPr>
        <w:t>。</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val="en-US" w:eastAsia="zh-CN" w:bidi="ar-SA"/>
        </w:rPr>
        <w:t xml:space="preserve">第三十八条【动态调整】 </w:t>
      </w:r>
      <w:r>
        <w:rPr>
          <w:rFonts w:hint="eastAsia" w:ascii="仿宋_GB2312" w:hAnsi="仿宋_GB2312" w:eastAsia="仿宋_GB2312" w:cs="仿宋_GB2312"/>
          <w:sz w:val="36"/>
          <w:szCs w:val="36"/>
          <w:highlight w:val="none"/>
          <w:lang w:val="en-GB"/>
        </w:rPr>
        <w:t>国家金融监督管理总局可以根据审慎监管需要，调整行业或特定保险公司的资产负债管理监管指标和监测指标的内容、计算口径、计算频率和</w:t>
      </w:r>
      <w:r>
        <w:rPr>
          <w:rFonts w:hint="eastAsia" w:ascii="仿宋_GB2312" w:hAnsi="仿宋_GB2312" w:eastAsia="仿宋_GB2312" w:cs="仿宋_GB2312"/>
          <w:sz w:val="36"/>
          <w:szCs w:val="36"/>
          <w:highlight w:val="none"/>
          <w:lang w:val="en-GB" w:eastAsia="zh-CN"/>
        </w:rPr>
        <w:t>监管</w:t>
      </w:r>
      <w:r>
        <w:rPr>
          <w:rFonts w:hint="eastAsia" w:ascii="仿宋_GB2312" w:hAnsi="仿宋_GB2312" w:eastAsia="仿宋_GB2312" w:cs="仿宋_GB2312"/>
          <w:sz w:val="36"/>
          <w:szCs w:val="36"/>
          <w:highlight w:val="none"/>
          <w:lang w:val="en-GB"/>
        </w:rPr>
        <w:t>标准。</w:t>
      </w:r>
    </w:p>
    <w:p>
      <w:pPr>
        <w:widowControl/>
        <w:shd w:val="clear" w:color="auto" w:fill="FEFEFE"/>
        <w:snapToGrid w:val="0"/>
        <w:spacing w:beforeLines="0" w:afterLines="0" w:line="600" w:lineRule="exact"/>
        <w:ind w:left="0" w:right="120" w:firstLine="720" w:firstLineChars="200"/>
        <w:rPr>
          <w:rFonts w:hint="eastAsia" w:ascii="仿宋_GB2312" w:hAnsi="Times New Roman" w:eastAsia="仿宋_GB2312" w:cs="Times New Roman"/>
          <w:kern w:val="0"/>
          <w:sz w:val="36"/>
          <w:szCs w:val="36"/>
          <w:highlight w:val="none"/>
          <w:lang w:eastAsia="zh-CN"/>
        </w:rPr>
      </w:pPr>
    </w:p>
    <w:p>
      <w:pPr>
        <w:pStyle w:val="2"/>
        <w:numPr>
          <w:ilvl w:val="0"/>
          <w:numId w:val="5"/>
        </w:numPr>
        <w:snapToGrid w:val="0"/>
        <w:spacing w:before="0" w:beforeLines="0" w:after="0" w:afterLines="0" w:line="600" w:lineRule="exact"/>
        <w:ind w:left="-2" w:leftChars="0" w:firstLine="0" w:firstLineChars="0"/>
        <w:jc w:val="center"/>
        <w:rPr>
          <w:rFonts w:ascii="宋体" w:hAnsi="宋体" w:eastAsia="宋体"/>
          <w:b/>
          <w:bCs/>
          <w:sz w:val="36"/>
          <w:szCs w:val="36"/>
          <w:highlight w:val="none"/>
        </w:rPr>
      </w:pPr>
      <w:r>
        <w:rPr>
          <w:rFonts w:hint="eastAsia" w:ascii="宋体" w:hAnsi="宋体" w:eastAsia="宋体"/>
          <w:b/>
          <w:bCs/>
          <w:sz w:val="36"/>
          <w:szCs w:val="36"/>
          <w:highlight w:val="none"/>
        </w:rPr>
        <w:t>监督管理</w:t>
      </w:r>
    </w:p>
    <w:p>
      <w:pPr>
        <w:keepNext w:val="0"/>
        <w:keepLines w:val="0"/>
        <w:pageBreakBefore w:val="0"/>
        <w:widowControl w:val="0"/>
        <w:shd w:val="clear" w:color="auto" w:fill="FEFEFE"/>
        <w:kinsoku/>
        <w:wordWrap/>
        <w:overflowPunct/>
        <w:topLinePunct w:val="0"/>
        <w:autoSpaceDE/>
        <w:autoSpaceDN/>
        <w:bidi w:val="0"/>
        <w:snapToGrid w:val="0"/>
        <w:spacing w:beforeLines="0" w:afterLines="0" w:line="600" w:lineRule="exact"/>
        <w:ind w:left="120" w:right="120" w:firstLine="640"/>
        <w:textAlignment w:val="auto"/>
        <w:rPr>
          <w:rFonts w:ascii="微软雅黑" w:hAnsi="微软雅黑" w:eastAsia="微软雅黑" w:cs="宋体"/>
          <w:kern w:val="0"/>
          <w:sz w:val="36"/>
          <w:szCs w:val="36"/>
          <w:highlight w:val="none"/>
        </w:rPr>
      </w:pPr>
      <w:r>
        <w:rPr>
          <w:rFonts w:hint="eastAsia" w:ascii="仿宋_GB2312" w:hAnsi="微软雅黑" w:eastAsia="仿宋_GB2312" w:cs="宋体"/>
          <w:kern w:val="0"/>
          <w:sz w:val="36"/>
          <w:szCs w:val="36"/>
          <w:highlight w:val="none"/>
        </w:rPr>
        <w:t> </w:t>
      </w:r>
    </w:p>
    <w:p>
      <w:pPr>
        <w:pStyle w:val="4"/>
        <w:keepNext w:val="0"/>
        <w:keepLines w:val="0"/>
        <w:pageBreakBefore w:val="0"/>
        <w:widowControl w:val="0"/>
        <w:numPr>
          <w:ilvl w:val="0"/>
          <w:numId w:val="0"/>
        </w:numPr>
        <w:shd w:val="clear" w:color="auto" w:fill="FEFEFE"/>
        <w:kinsoku/>
        <w:wordWrap/>
        <w:overflowPunct/>
        <w:topLinePunct w:val="0"/>
        <w:autoSpaceDE/>
        <w:autoSpaceDN/>
        <w:bidi w:val="0"/>
        <w:adjustRightInd w:val="0"/>
        <w:snapToGrid w:val="0"/>
        <w:spacing w:beforeLines="0" w:afterLines="0" w:line="600" w:lineRule="exact"/>
        <w:ind w:left="0" w:right="119" w:firstLine="641" w:firstLineChars="0"/>
        <w:textAlignment w:val="auto"/>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val="en-US" w:eastAsia="zh-CN" w:bidi="ar-SA"/>
        </w:rPr>
        <w:t xml:space="preserve">第三十九条【监管机制】 </w:t>
      </w:r>
      <w:r>
        <w:rPr>
          <w:rFonts w:hint="eastAsia" w:ascii="仿宋_GB2312" w:hAnsi="微软雅黑" w:eastAsia="仿宋_GB2312" w:cs="宋体"/>
          <w:kern w:val="0"/>
          <w:sz w:val="36"/>
          <w:szCs w:val="36"/>
          <w:highlight w:val="none"/>
        </w:rPr>
        <w:t>国家金融监督管理总局及其派出机构建立资产负债管理监管定期分析机制，加强监管协同，依法对保险公司资产负债</w:t>
      </w:r>
      <w:r>
        <w:rPr>
          <w:rFonts w:hint="eastAsia" w:ascii="仿宋_GB2312" w:hAnsi="微软雅黑" w:eastAsia="仿宋_GB2312" w:cs="宋体"/>
          <w:kern w:val="0"/>
          <w:sz w:val="36"/>
          <w:szCs w:val="36"/>
          <w:highlight w:val="none"/>
          <w:lang w:val="en-US" w:eastAsia="zh-CN"/>
        </w:rPr>
        <w:t>管理情况</w:t>
      </w:r>
      <w:r>
        <w:rPr>
          <w:rFonts w:hint="eastAsia" w:ascii="仿宋_GB2312" w:hAnsi="微软雅黑" w:eastAsia="仿宋_GB2312" w:cs="宋体"/>
          <w:kern w:val="0"/>
          <w:sz w:val="36"/>
          <w:szCs w:val="36"/>
          <w:highlight w:val="none"/>
        </w:rPr>
        <w:t>进行监督检查，实施差别化的监管措施。</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hint="eastAsia" w:ascii="仿宋_GB2312" w:hAnsi="微软雅黑" w:eastAsia="仿宋_GB2312" w:cs="宋体"/>
          <w:kern w:val="0"/>
          <w:sz w:val="36"/>
          <w:szCs w:val="36"/>
          <w:highlight w:val="none"/>
          <w:lang w:eastAsia="zh-CN"/>
        </w:rPr>
      </w:pPr>
      <w:r>
        <w:rPr>
          <w:rFonts w:hint="eastAsia" w:ascii="仿宋_GB2312" w:hAnsi="微软雅黑" w:eastAsia="仿宋_GB2312" w:cs="宋体"/>
          <w:kern w:val="0"/>
          <w:sz w:val="36"/>
          <w:szCs w:val="36"/>
          <w:highlight w:val="none"/>
          <w:lang w:val="en-US" w:eastAsia="zh-CN" w:bidi="ar-SA"/>
        </w:rPr>
        <w:t xml:space="preserve">第四十条【信息报告】 </w:t>
      </w:r>
      <w:r>
        <w:rPr>
          <w:rFonts w:hint="eastAsia" w:ascii="仿宋_GB2312" w:hAnsi="微软雅黑" w:eastAsia="仿宋_GB2312" w:cs="宋体"/>
          <w:kern w:val="0"/>
          <w:sz w:val="36"/>
          <w:szCs w:val="36"/>
          <w:highlight w:val="none"/>
        </w:rPr>
        <w:t>保险公司应当建立健全信息报送机制，</w:t>
      </w:r>
      <w:r>
        <w:rPr>
          <w:rFonts w:hint="eastAsia" w:ascii="仿宋_GB2312" w:hAnsi="微软雅黑" w:eastAsia="仿宋_GB2312" w:cs="宋体"/>
          <w:kern w:val="0"/>
          <w:sz w:val="36"/>
          <w:szCs w:val="36"/>
          <w:highlight w:val="none"/>
          <w:lang w:eastAsia="zh-CN"/>
        </w:rPr>
        <w:t>按规定</w:t>
      </w:r>
      <w:r>
        <w:rPr>
          <w:rFonts w:hint="eastAsia" w:ascii="仿宋_GB2312" w:hAnsi="微软雅黑" w:eastAsia="仿宋_GB2312" w:cs="宋体"/>
          <w:kern w:val="0"/>
          <w:sz w:val="36"/>
          <w:szCs w:val="36"/>
          <w:highlight w:val="none"/>
        </w:rPr>
        <w:t>向国家金融监督管理总局指定信息平台报送资产负债管理</w:t>
      </w:r>
      <w:r>
        <w:rPr>
          <w:rFonts w:hint="eastAsia" w:ascii="仿宋_GB2312" w:hAnsi="微软雅黑" w:eastAsia="仿宋_GB2312" w:cs="宋体"/>
          <w:kern w:val="0"/>
          <w:sz w:val="36"/>
          <w:szCs w:val="36"/>
          <w:highlight w:val="none"/>
          <w:lang w:eastAsia="zh-CN"/>
        </w:rPr>
        <w:t>季度报告和年度报告</w:t>
      </w:r>
      <w:r>
        <w:rPr>
          <w:rFonts w:hint="eastAsia" w:ascii="仿宋_GB2312" w:hAnsi="微软雅黑" w:eastAsia="仿宋_GB2312" w:cs="宋体"/>
          <w:kern w:val="0"/>
          <w:sz w:val="36"/>
          <w:szCs w:val="36"/>
          <w:highlight w:val="none"/>
        </w:rPr>
        <w:t>，确保信息及时、真实、准确、完整。</w:t>
      </w:r>
      <w:r>
        <w:rPr>
          <w:rFonts w:hint="eastAsia" w:ascii="仿宋_GB2312" w:hAnsi="微软雅黑" w:eastAsia="仿宋_GB2312" w:cs="宋体"/>
          <w:kern w:val="0"/>
          <w:sz w:val="36"/>
          <w:szCs w:val="36"/>
          <w:highlight w:val="none"/>
          <w:lang w:eastAsia="zh-CN"/>
        </w:rPr>
        <w:t>报告内容</w:t>
      </w:r>
      <w:r>
        <w:rPr>
          <w:rFonts w:hint="eastAsia" w:ascii="仿宋_GB2312" w:hAnsi="微软雅黑" w:eastAsia="仿宋_GB2312" w:cs="宋体"/>
          <w:kern w:val="0"/>
          <w:sz w:val="36"/>
          <w:szCs w:val="36"/>
          <w:highlight w:val="none"/>
        </w:rPr>
        <w:t>包括</w:t>
      </w:r>
      <w:r>
        <w:rPr>
          <w:rFonts w:hint="eastAsia" w:ascii="仿宋_GB2312" w:hAnsi="微软雅黑" w:eastAsia="仿宋_GB2312" w:cs="宋体"/>
          <w:kern w:val="0"/>
          <w:sz w:val="36"/>
          <w:szCs w:val="36"/>
          <w:highlight w:val="none"/>
          <w:lang w:eastAsia="zh-CN"/>
        </w:rPr>
        <w:t>：</w:t>
      </w:r>
    </w:p>
    <w:p>
      <w:pPr>
        <w:pStyle w:val="4"/>
        <w:widowControl/>
        <w:numPr>
          <w:ilvl w:val="0"/>
          <w:numId w:val="0"/>
        </w:numPr>
        <w:shd w:val="clear" w:color="auto" w:fill="FEFEFE"/>
        <w:adjustRightInd w:val="0"/>
        <w:snapToGrid w:val="0"/>
        <w:spacing w:beforeLines="0" w:afterLines="0" w:line="600" w:lineRule="exact"/>
        <w:ind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eastAsia="zh-CN"/>
        </w:rPr>
        <w:t>（一）</w:t>
      </w:r>
      <w:r>
        <w:rPr>
          <w:rFonts w:hint="eastAsia" w:ascii="仿宋_GB2312" w:hAnsi="仿宋_GB2312" w:eastAsia="仿宋_GB2312" w:cs="仿宋_GB2312"/>
          <w:sz w:val="36"/>
          <w:szCs w:val="36"/>
          <w:highlight w:val="none"/>
          <w:lang w:eastAsia="zh-CN"/>
        </w:rPr>
        <w:t>资</w:t>
      </w:r>
      <w:r>
        <w:rPr>
          <w:rFonts w:hint="eastAsia" w:ascii="仿宋_GB2312" w:hAnsi="微软雅黑" w:eastAsia="仿宋_GB2312" w:cs="宋体"/>
          <w:kern w:val="0"/>
          <w:sz w:val="36"/>
          <w:szCs w:val="36"/>
          <w:highlight w:val="none"/>
        </w:rPr>
        <w:t>产负债基本</w:t>
      </w:r>
      <w:r>
        <w:rPr>
          <w:rFonts w:hint="eastAsia" w:ascii="仿宋_GB2312" w:hAnsi="微软雅黑" w:eastAsia="仿宋_GB2312" w:cs="宋体"/>
          <w:kern w:val="0"/>
          <w:sz w:val="36"/>
          <w:szCs w:val="36"/>
          <w:highlight w:val="none"/>
          <w:lang w:eastAsia="zh-CN"/>
        </w:rPr>
        <w:t>情况</w:t>
      </w:r>
      <w:r>
        <w:rPr>
          <w:rFonts w:hint="eastAsia" w:ascii="仿宋_GB2312" w:hAnsi="微软雅黑" w:eastAsia="仿宋_GB2312" w:cs="宋体"/>
          <w:kern w:val="0"/>
          <w:sz w:val="36"/>
          <w:szCs w:val="36"/>
          <w:highlight w:val="none"/>
        </w:rPr>
        <w:t>，包括资产配置状况、资产信用状况、</w:t>
      </w:r>
      <w:r>
        <w:rPr>
          <w:rFonts w:hint="eastAsia" w:ascii="仿宋_GB2312" w:hAnsi="微软雅黑" w:eastAsia="仿宋_GB2312" w:cs="宋体"/>
          <w:kern w:val="0"/>
          <w:sz w:val="36"/>
          <w:szCs w:val="36"/>
          <w:highlight w:val="none"/>
          <w:lang w:eastAsia="zh-CN"/>
        </w:rPr>
        <w:t>负债产品</w:t>
      </w:r>
      <w:r>
        <w:rPr>
          <w:rFonts w:hint="eastAsia" w:ascii="仿宋_GB2312" w:hAnsi="微软雅黑" w:eastAsia="仿宋_GB2312" w:cs="宋体"/>
          <w:kern w:val="0"/>
          <w:sz w:val="36"/>
          <w:szCs w:val="36"/>
          <w:highlight w:val="none"/>
        </w:rPr>
        <w:t>信息等；</w:t>
      </w:r>
    </w:p>
    <w:p>
      <w:pPr>
        <w:pStyle w:val="4"/>
        <w:keepNext w:val="0"/>
        <w:keepLines w:val="0"/>
        <w:widowControl/>
        <w:numPr>
          <w:ilvl w:val="0"/>
          <w:numId w:val="0"/>
        </w:numPr>
        <w:suppressLineNumbers w:val="0"/>
        <w:shd w:val="clear" w:color="auto" w:fill="FEFEFE"/>
        <w:adjustRightInd w:val="0"/>
        <w:snapToGrid w:val="0"/>
        <w:spacing w:beforeLines="0" w:afterLines="0" w:line="600" w:lineRule="exact"/>
        <w:ind w:right="119" w:firstLine="641" w:firstLineChars="0"/>
        <w:jc w:val="left"/>
        <w:rPr>
          <w:rFonts w:hint="eastAsia" w:ascii="仿宋_GB2312" w:hAnsi="微软雅黑" w:eastAsia="仿宋_GB2312" w:cs="宋体"/>
          <w:color w:val="000000"/>
          <w:kern w:val="0"/>
          <w:sz w:val="36"/>
          <w:szCs w:val="36"/>
          <w:highlight w:val="none"/>
          <w:lang w:val="en-GB" w:eastAsia="zh-CN" w:bidi="ar"/>
        </w:rPr>
      </w:pPr>
      <w:r>
        <w:rPr>
          <w:rFonts w:hint="eastAsia" w:ascii="仿宋_GB2312" w:hAnsi="微软雅黑" w:eastAsia="仿宋_GB2312" w:cs="宋体"/>
          <w:kern w:val="0"/>
          <w:sz w:val="36"/>
          <w:szCs w:val="36"/>
          <w:highlight w:val="none"/>
          <w:lang w:eastAsia="zh-CN"/>
        </w:rPr>
        <w:t>（二）</w:t>
      </w:r>
      <w:r>
        <w:rPr>
          <w:rFonts w:hint="eastAsia" w:ascii="仿宋_GB2312" w:hAnsi="微软雅黑" w:eastAsia="仿宋_GB2312" w:cs="宋体"/>
          <w:color w:val="000000"/>
          <w:kern w:val="0"/>
          <w:sz w:val="36"/>
          <w:szCs w:val="36"/>
          <w:highlight w:val="none"/>
          <w:lang w:val="en-GB" w:bidi="ar"/>
        </w:rPr>
        <w:t>资产负债</w:t>
      </w:r>
      <w:r>
        <w:rPr>
          <w:rFonts w:hint="eastAsia" w:ascii="仿宋_GB2312" w:hAnsi="微软雅黑" w:eastAsia="仿宋_GB2312" w:cs="宋体"/>
          <w:kern w:val="0"/>
          <w:sz w:val="36"/>
          <w:szCs w:val="36"/>
          <w:highlight w:val="none"/>
          <w:lang w:val="en-GB" w:bidi="ar"/>
        </w:rPr>
        <w:t>匹配状况</w:t>
      </w:r>
      <w:r>
        <w:rPr>
          <w:rFonts w:hint="eastAsia" w:ascii="仿宋_GB2312" w:hAnsi="微软雅黑" w:eastAsia="仿宋_GB2312" w:cs="宋体"/>
          <w:color w:val="000000"/>
          <w:kern w:val="0"/>
          <w:sz w:val="36"/>
          <w:szCs w:val="36"/>
          <w:highlight w:val="none"/>
          <w:lang w:val="en-GB" w:bidi="ar"/>
        </w:rPr>
        <w:t>，包括期限结构匹配、成本收益匹配、</w:t>
      </w:r>
      <w:r>
        <w:rPr>
          <w:rFonts w:hint="eastAsia" w:ascii="仿宋_GB2312" w:hAnsi="微软雅黑" w:eastAsia="仿宋_GB2312" w:cs="宋体"/>
          <w:color w:val="000000"/>
          <w:kern w:val="0"/>
          <w:sz w:val="36"/>
          <w:szCs w:val="36"/>
          <w:highlight w:val="none"/>
          <w:lang w:val="en-GB" w:eastAsia="zh-CN" w:bidi="ar"/>
        </w:rPr>
        <w:t>流动性</w:t>
      </w:r>
      <w:r>
        <w:rPr>
          <w:rFonts w:hint="eastAsia" w:ascii="仿宋_GB2312" w:hAnsi="微软雅黑" w:eastAsia="仿宋_GB2312" w:cs="宋体"/>
          <w:color w:val="000000"/>
          <w:kern w:val="0"/>
          <w:sz w:val="36"/>
          <w:szCs w:val="36"/>
          <w:highlight w:val="none"/>
          <w:lang w:val="en-GB" w:bidi="ar"/>
        </w:rPr>
        <w:t>匹配等</w:t>
      </w:r>
      <w:r>
        <w:rPr>
          <w:rFonts w:hint="eastAsia" w:ascii="仿宋_GB2312" w:hAnsi="微软雅黑" w:eastAsia="仿宋_GB2312" w:cs="宋体"/>
          <w:color w:val="000000"/>
          <w:kern w:val="0"/>
          <w:sz w:val="36"/>
          <w:szCs w:val="36"/>
          <w:highlight w:val="none"/>
          <w:lang w:val="en-GB" w:eastAsia="zh-CN" w:bidi="ar"/>
        </w:rPr>
        <w:t>。</w:t>
      </w:r>
    </w:p>
    <w:p>
      <w:pPr>
        <w:pStyle w:val="4"/>
        <w:keepNext w:val="0"/>
        <w:keepLines w:val="0"/>
        <w:widowControl/>
        <w:numPr>
          <w:ilvl w:val="0"/>
          <w:numId w:val="0"/>
        </w:numPr>
        <w:suppressLineNumbers w:val="0"/>
        <w:shd w:val="clear" w:color="auto" w:fill="FEFEFE"/>
        <w:adjustRightInd w:val="0"/>
        <w:snapToGrid w:val="0"/>
        <w:spacing w:beforeLines="0" w:afterLines="0" w:line="600" w:lineRule="exact"/>
        <w:ind w:right="119" w:firstLine="641" w:firstLineChars="0"/>
        <w:jc w:val="left"/>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val="en-US" w:eastAsia="zh-CN" w:bidi="ar-SA"/>
        </w:rPr>
        <w:t xml:space="preserve">第四十一条【第三方审核】 </w:t>
      </w:r>
      <w:r>
        <w:rPr>
          <w:rFonts w:hint="eastAsia" w:ascii="仿宋_GB2312" w:hAnsi="微软雅黑" w:eastAsia="仿宋_GB2312" w:cs="宋体"/>
          <w:kern w:val="0"/>
          <w:sz w:val="36"/>
          <w:szCs w:val="36"/>
          <w:highlight w:val="none"/>
        </w:rPr>
        <w:t>保险公司资产负债管理年度</w:t>
      </w:r>
      <w:r>
        <w:rPr>
          <w:rFonts w:hint="eastAsia" w:ascii="仿宋_GB2312" w:hAnsi="微软雅黑" w:eastAsia="仿宋_GB2312" w:cs="宋体"/>
          <w:kern w:val="0"/>
          <w:sz w:val="36"/>
          <w:szCs w:val="36"/>
          <w:highlight w:val="none"/>
          <w:lang w:eastAsia="zh-CN"/>
        </w:rPr>
        <w:t>报告中，资产负债基本情况和匹配情况</w:t>
      </w:r>
      <w:r>
        <w:rPr>
          <w:rFonts w:hint="eastAsia" w:ascii="仿宋_GB2312" w:hAnsi="微软雅黑" w:eastAsia="仿宋_GB2312" w:cs="宋体"/>
          <w:kern w:val="0"/>
          <w:sz w:val="36"/>
          <w:szCs w:val="36"/>
          <w:highlight w:val="none"/>
        </w:rPr>
        <w:t>应当经独立三方审核机构核验。</w:t>
      </w:r>
      <w:r>
        <w:rPr>
          <w:rFonts w:hint="eastAsia" w:ascii="仿宋_GB2312" w:hAnsi="微软雅黑" w:eastAsia="仿宋_GB2312" w:cs="宋体"/>
          <w:kern w:val="0"/>
          <w:sz w:val="36"/>
          <w:szCs w:val="36"/>
          <w:highlight w:val="none"/>
          <w:lang w:val="en-GB" w:eastAsia="zh-CN" w:bidi="ar"/>
        </w:rPr>
        <w:t>除上述报告内容外，年度报告还应当说明保险公司</w:t>
      </w:r>
      <w:r>
        <w:rPr>
          <w:rFonts w:hint="eastAsia" w:ascii="仿宋_GB2312" w:hAnsi="微软雅黑" w:eastAsia="仿宋_GB2312" w:cs="宋体"/>
          <w:kern w:val="0"/>
          <w:sz w:val="36"/>
          <w:szCs w:val="36"/>
          <w:highlight w:val="none"/>
          <w:lang w:val="en-US" w:eastAsia="zh-CN" w:bidi="ar"/>
        </w:rPr>
        <w:t>资产负债管理的目标、组织架构图、人员及职责安排、回溯分析，以及业务规划、资产配置政策等内容。</w:t>
      </w:r>
    </w:p>
    <w:p>
      <w:pPr>
        <w:pStyle w:val="4"/>
        <w:widowControl/>
        <w:numPr>
          <w:ilvl w:val="-1"/>
          <w:numId w:val="0"/>
        </w:numPr>
        <w:shd w:val="clear" w:color="auto" w:fill="FEFEFE"/>
        <w:adjustRightInd w:val="0"/>
        <w:snapToGrid w:val="0"/>
        <w:spacing w:beforeLines="0" w:afterLines="0" w:line="600" w:lineRule="exact"/>
        <w:ind w:left="0" w:right="119" w:firstLine="720" w:firstLineChars="200"/>
        <w:jc w:val="both"/>
        <w:rPr>
          <w:rFonts w:hint="eastAsia" w:ascii="仿宋_GB2312" w:hAnsi="微软雅黑" w:eastAsia="仿宋_GB2312" w:cs="宋体"/>
          <w:kern w:val="0"/>
          <w:sz w:val="36"/>
          <w:szCs w:val="36"/>
          <w:highlight w:val="none"/>
          <w:lang w:eastAsia="zh-CN"/>
        </w:rPr>
      </w:pPr>
      <w:r>
        <w:rPr>
          <w:rFonts w:hint="eastAsia" w:ascii="仿宋_GB2312" w:hAnsi="微软雅黑" w:eastAsia="仿宋_GB2312" w:cs="宋体"/>
          <w:kern w:val="0"/>
          <w:sz w:val="36"/>
          <w:szCs w:val="36"/>
          <w:highlight w:val="none"/>
          <w:lang w:val="en-US" w:eastAsia="zh-CN" w:bidi="ar-SA"/>
        </w:rPr>
        <w:t xml:space="preserve">第四十二条【能力评估】 </w:t>
      </w:r>
      <w:r>
        <w:rPr>
          <w:rFonts w:hint="eastAsia" w:ascii="仿宋_GB2312" w:hAnsi="微软雅黑" w:eastAsia="仿宋_GB2312" w:cs="宋体"/>
          <w:kern w:val="0"/>
          <w:sz w:val="36"/>
          <w:szCs w:val="36"/>
          <w:highlight w:val="none"/>
        </w:rPr>
        <w:t>保险公司应当每年评估一次资产负债管理</w:t>
      </w:r>
      <w:r>
        <w:rPr>
          <w:rFonts w:hint="eastAsia" w:ascii="仿宋_GB2312" w:hAnsi="微软雅黑" w:eastAsia="仿宋_GB2312" w:cs="宋体"/>
          <w:kern w:val="0"/>
          <w:sz w:val="36"/>
          <w:szCs w:val="36"/>
          <w:highlight w:val="none"/>
          <w:lang w:eastAsia="zh-CN"/>
        </w:rPr>
        <w:t>能力建设</w:t>
      </w:r>
      <w:r>
        <w:rPr>
          <w:rFonts w:hint="eastAsia" w:ascii="仿宋_GB2312" w:hAnsi="微软雅黑" w:eastAsia="仿宋_GB2312" w:cs="宋体"/>
          <w:kern w:val="0"/>
          <w:sz w:val="36"/>
          <w:szCs w:val="36"/>
          <w:highlight w:val="none"/>
        </w:rPr>
        <w:t>情况，</w:t>
      </w:r>
      <w:r>
        <w:rPr>
          <w:rFonts w:hint="eastAsia" w:ascii="仿宋_GB2312" w:hAnsi="微软雅黑" w:eastAsia="仿宋_GB2312" w:cs="宋体"/>
          <w:kern w:val="0"/>
          <w:sz w:val="36"/>
          <w:szCs w:val="36"/>
          <w:highlight w:val="none"/>
          <w:lang w:eastAsia="zh-CN"/>
        </w:rPr>
        <w:t>包括治理结构、政策和程序、模型工具等内容，</w:t>
      </w:r>
      <w:r>
        <w:rPr>
          <w:rFonts w:hint="eastAsia" w:ascii="仿宋_GB2312" w:hAnsi="微软雅黑" w:eastAsia="仿宋_GB2312" w:cs="宋体"/>
          <w:kern w:val="0"/>
          <w:sz w:val="36"/>
          <w:szCs w:val="36"/>
          <w:highlight w:val="none"/>
        </w:rPr>
        <w:t>并</w:t>
      </w:r>
      <w:r>
        <w:rPr>
          <w:rFonts w:hint="eastAsia" w:ascii="仿宋_GB2312" w:hAnsi="微软雅黑" w:eastAsia="仿宋_GB2312" w:cs="宋体"/>
          <w:kern w:val="0"/>
          <w:sz w:val="36"/>
          <w:szCs w:val="36"/>
          <w:highlight w:val="none"/>
          <w:lang w:eastAsia="zh-CN"/>
        </w:rPr>
        <w:t>按规定向</w:t>
      </w:r>
      <w:r>
        <w:rPr>
          <w:rFonts w:hint="eastAsia" w:ascii="仿宋_GB2312" w:hAnsi="微软雅黑" w:eastAsia="仿宋_GB2312" w:cs="宋体"/>
          <w:kern w:val="0"/>
          <w:sz w:val="36"/>
          <w:szCs w:val="36"/>
          <w:highlight w:val="none"/>
        </w:rPr>
        <w:t>国家金融监督管理总局指定信息平台报送</w:t>
      </w:r>
      <w:r>
        <w:rPr>
          <w:rFonts w:hint="eastAsia" w:ascii="仿宋_GB2312" w:hAnsi="微软雅黑" w:eastAsia="仿宋_GB2312" w:cs="宋体"/>
          <w:kern w:val="0"/>
          <w:sz w:val="36"/>
          <w:szCs w:val="36"/>
          <w:highlight w:val="none"/>
          <w:lang w:eastAsia="zh-CN"/>
        </w:rPr>
        <w:t>相关信息。</w:t>
      </w:r>
    </w:p>
    <w:p>
      <w:pPr>
        <w:pStyle w:val="4"/>
        <w:widowControl/>
        <w:numPr>
          <w:ilvl w:val="-1"/>
          <w:numId w:val="0"/>
        </w:numPr>
        <w:shd w:val="clear" w:color="auto" w:fill="FEFEFE"/>
        <w:adjustRightInd w:val="0"/>
        <w:snapToGrid w:val="0"/>
        <w:spacing w:beforeLines="0" w:afterLines="0" w:line="600" w:lineRule="exact"/>
        <w:ind w:left="0" w:right="119" w:firstLine="720" w:firstLineChars="200"/>
        <w:jc w:val="both"/>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国家金融监督管理总局及其派出机构</w:t>
      </w:r>
      <w:r>
        <w:rPr>
          <w:rFonts w:hint="eastAsia" w:ascii="仿宋_GB2312" w:hAnsi="微软雅黑" w:eastAsia="仿宋_GB2312" w:cs="宋体"/>
          <w:kern w:val="0"/>
          <w:sz w:val="36"/>
          <w:szCs w:val="36"/>
          <w:highlight w:val="none"/>
          <w:lang w:val="en-US" w:eastAsia="zh-CN"/>
        </w:rPr>
        <w:t>评估保险公司资产负债管理能力建设情况，并将资产负债匹配指标执行情况和能力建设评估结果纳入保险公司监管评级</w:t>
      </w:r>
      <w:r>
        <w:rPr>
          <w:rFonts w:hint="eastAsia" w:ascii="仿宋_GB2312" w:hAnsi="微软雅黑" w:eastAsia="仿宋_GB2312" w:cs="宋体"/>
          <w:kern w:val="0"/>
          <w:sz w:val="36"/>
          <w:szCs w:val="36"/>
          <w:highlight w:val="none"/>
          <w:lang w:eastAsia="zh-CN"/>
        </w:rPr>
        <w:t>。</w:t>
      </w:r>
    </w:p>
    <w:p>
      <w:pPr>
        <w:widowControl/>
        <w:numPr>
          <w:ilvl w:val="0"/>
          <w:numId w:val="0"/>
        </w:numPr>
        <w:shd w:val="clear" w:color="auto" w:fill="FEFEFE"/>
        <w:adjustRightInd w:val="0"/>
        <w:snapToGrid w:val="0"/>
        <w:spacing w:beforeLines="0" w:afterLines="0" w:line="600" w:lineRule="exact"/>
        <w:ind w:left="0" w:right="119" w:firstLine="640" w:firstLineChars="0"/>
        <w:rPr>
          <w:rFonts w:hint="eastAsia" w:ascii="仿宋_GB2312" w:hAnsi="Times New Roman" w:eastAsia="仿宋_GB2312" w:cs="Times New Roman"/>
          <w:kern w:val="0"/>
          <w:sz w:val="36"/>
          <w:szCs w:val="36"/>
          <w:highlight w:val="yellow"/>
          <w:lang w:eastAsia="zh-CN"/>
        </w:rPr>
      </w:pPr>
      <w:r>
        <w:rPr>
          <w:rFonts w:hint="eastAsia" w:ascii="仿宋_GB2312" w:hAnsi="微软雅黑" w:eastAsia="仿宋_GB2312" w:cs="宋体"/>
          <w:kern w:val="0"/>
          <w:sz w:val="36"/>
          <w:szCs w:val="36"/>
          <w:highlight w:val="none"/>
          <w:lang w:val="en-US" w:eastAsia="zh-CN" w:bidi="ar-SA"/>
        </w:rPr>
        <w:t xml:space="preserve">第四十三条【风险预警】 </w:t>
      </w:r>
      <w:r>
        <w:rPr>
          <w:rFonts w:hint="eastAsia" w:ascii="仿宋_GB2312" w:hAnsi="仿宋_GB2312" w:eastAsia="仿宋_GB2312" w:cs="仿宋_GB2312"/>
          <w:sz w:val="36"/>
          <w:szCs w:val="36"/>
          <w:highlight w:val="none"/>
          <w:lang w:val="en-GB"/>
        </w:rPr>
        <w:t>国家金融监督管理总局</w:t>
      </w:r>
      <w:r>
        <w:rPr>
          <w:rFonts w:hint="eastAsia" w:ascii="仿宋_GB2312" w:hAnsi="微软雅黑" w:eastAsia="仿宋_GB2312" w:cs="宋体"/>
          <w:kern w:val="0"/>
          <w:sz w:val="36"/>
          <w:szCs w:val="36"/>
          <w:highlight w:val="none"/>
        </w:rPr>
        <w:t>及其派出机构</w:t>
      </w:r>
      <w:r>
        <w:rPr>
          <w:rFonts w:hint="eastAsia" w:ascii="仿宋_GB2312" w:hAnsi="仿宋_GB2312" w:eastAsia="仿宋_GB2312" w:cs="仿宋_GB2312"/>
          <w:sz w:val="36"/>
          <w:szCs w:val="36"/>
          <w:highlight w:val="none"/>
          <w:lang w:val="en-GB" w:eastAsia="zh-CN"/>
        </w:rPr>
        <w:t>可</w:t>
      </w:r>
      <w:r>
        <w:rPr>
          <w:rFonts w:hint="eastAsia" w:ascii="仿宋_GB2312" w:hAnsi="宋体" w:eastAsia="仿宋_GB2312" w:cs="仿宋_GB2312"/>
          <w:kern w:val="0"/>
          <w:sz w:val="36"/>
          <w:szCs w:val="36"/>
          <w:highlight w:val="none"/>
        </w:rPr>
        <w:t>结合</w:t>
      </w:r>
      <w:r>
        <w:rPr>
          <w:rFonts w:hint="eastAsia" w:ascii="仿宋_GB2312" w:hAnsi="宋体" w:eastAsia="仿宋_GB2312" w:cs="仿宋_GB2312"/>
          <w:kern w:val="0"/>
          <w:sz w:val="36"/>
          <w:szCs w:val="36"/>
          <w:highlight w:val="none"/>
          <w:lang w:eastAsia="zh-CN"/>
        </w:rPr>
        <w:t>保险公司</w:t>
      </w:r>
      <w:r>
        <w:rPr>
          <w:rFonts w:hint="eastAsia" w:ascii="仿宋_GB2312" w:hAnsi="宋体" w:eastAsia="仿宋_GB2312" w:cs="仿宋_GB2312"/>
          <w:kern w:val="0"/>
          <w:sz w:val="36"/>
          <w:szCs w:val="36"/>
          <w:highlight w:val="none"/>
        </w:rPr>
        <w:t>的经营模式</w:t>
      </w:r>
      <w:r>
        <w:rPr>
          <w:rFonts w:hint="eastAsia" w:ascii="仿宋_GB2312" w:hAnsi="宋体" w:eastAsia="仿宋_GB2312" w:cs="仿宋_GB2312"/>
          <w:kern w:val="0"/>
          <w:sz w:val="36"/>
          <w:szCs w:val="36"/>
          <w:highlight w:val="none"/>
          <w:lang w:eastAsia="zh-CN"/>
        </w:rPr>
        <w:t>，</w:t>
      </w:r>
      <w:r>
        <w:rPr>
          <w:rFonts w:hint="eastAsia" w:ascii="仿宋_GB2312" w:hAnsi="仿宋_GB2312" w:eastAsia="仿宋_GB2312" w:cs="仿宋_GB2312"/>
          <w:kern w:val="2"/>
          <w:sz w:val="36"/>
          <w:szCs w:val="36"/>
          <w:highlight w:val="none"/>
          <w:lang w:val="en-GB"/>
        </w:rPr>
        <w:t>对</w:t>
      </w:r>
      <w:r>
        <w:rPr>
          <w:rFonts w:hint="eastAsia" w:ascii="仿宋_GB2312" w:hAnsi="仿宋_GB2312" w:eastAsia="仿宋_GB2312" w:cs="仿宋_GB2312"/>
          <w:kern w:val="2"/>
          <w:sz w:val="36"/>
          <w:szCs w:val="36"/>
          <w:highlight w:val="none"/>
          <w:lang w:val="en-GB" w:eastAsia="zh-CN"/>
        </w:rPr>
        <w:t>资产负债管理监管指标和监测</w:t>
      </w:r>
      <w:r>
        <w:rPr>
          <w:rFonts w:hint="eastAsia" w:ascii="仿宋_GB2312" w:hAnsi="仿宋_GB2312" w:eastAsia="仿宋_GB2312" w:cs="仿宋_GB2312"/>
          <w:sz w:val="36"/>
          <w:szCs w:val="36"/>
          <w:highlight w:val="none"/>
          <w:lang w:val="en-GB"/>
        </w:rPr>
        <w:t>指标</w:t>
      </w:r>
      <w:r>
        <w:rPr>
          <w:rFonts w:hint="eastAsia" w:ascii="仿宋_GB2312" w:hAnsi="仿宋_GB2312" w:eastAsia="仿宋_GB2312" w:cs="仿宋_GB2312"/>
          <w:kern w:val="2"/>
          <w:sz w:val="36"/>
          <w:szCs w:val="36"/>
          <w:highlight w:val="none"/>
          <w:lang w:val="en-GB"/>
        </w:rPr>
        <w:t>设置差异化的预警值或预警区间，</w:t>
      </w:r>
      <w:r>
        <w:rPr>
          <w:rFonts w:hint="eastAsia" w:ascii="仿宋_GB2312" w:hAnsi="宋体" w:eastAsia="仿宋_GB2312" w:cs="仿宋_GB2312"/>
          <w:kern w:val="0"/>
          <w:sz w:val="36"/>
          <w:szCs w:val="36"/>
          <w:highlight w:val="none"/>
        </w:rPr>
        <w:t>适时进行风险提示</w:t>
      </w:r>
      <w:r>
        <w:rPr>
          <w:rFonts w:hint="eastAsia" w:ascii="仿宋_GB2312" w:hAnsi="宋体" w:eastAsia="仿宋_GB2312" w:cs="仿宋_GB2312"/>
          <w:kern w:val="0"/>
          <w:sz w:val="36"/>
          <w:szCs w:val="36"/>
          <w:highlight w:val="none"/>
          <w:lang w:eastAsia="zh-CN"/>
        </w:rPr>
        <w:t>，或要求保险公司</w:t>
      </w:r>
      <w:r>
        <w:rPr>
          <w:rFonts w:hint="eastAsia" w:ascii="仿宋_GB2312" w:hAnsi="Times New Roman" w:eastAsia="仿宋_GB2312" w:cs="Times New Roman"/>
          <w:kern w:val="0"/>
          <w:sz w:val="36"/>
          <w:szCs w:val="36"/>
          <w:highlight w:val="none"/>
        </w:rPr>
        <w:t>提交预防资产</w:t>
      </w:r>
      <w:r>
        <w:rPr>
          <w:rFonts w:ascii="仿宋_GB2312" w:hAnsi="Times New Roman" w:eastAsia="仿宋_GB2312" w:cs="Times New Roman"/>
          <w:kern w:val="0"/>
          <w:sz w:val="36"/>
          <w:szCs w:val="36"/>
          <w:highlight w:val="none"/>
        </w:rPr>
        <w:t>负债匹配状况恶化</w:t>
      </w:r>
      <w:r>
        <w:rPr>
          <w:rFonts w:hint="eastAsia" w:ascii="仿宋_GB2312" w:hAnsi="Times New Roman" w:eastAsia="仿宋_GB2312" w:cs="Times New Roman"/>
          <w:kern w:val="0"/>
          <w:sz w:val="36"/>
          <w:szCs w:val="36"/>
          <w:highlight w:val="none"/>
        </w:rPr>
        <w:t>的</w:t>
      </w:r>
      <w:r>
        <w:rPr>
          <w:rFonts w:hint="eastAsia" w:ascii="仿宋_GB2312" w:hAnsi="Times New Roman" w:eastAsia="仿宋_GB2312" w:cs="Times New Roman"/>
          <w:kern w:val="0"/>
          <w:sz w:val="36"/>
          <w:szCs w:val="36"/>
          <w:highlight w:val="none"/>
          <w:lang w:eastAsia="zh-CN"/>
        </w:rPr>
        <w:t>管理计划</w:t>
      </w:r>
      <w:r>
        <w:rPr>
          <w:rFonts w:hint="eastAsia" w:ascii="仿宋_GB2312" w:hAnsi="Times New Roman" w:eastAsia="仿宋_GB2312" w:cs="Times New Roman"/>
          <w:kern w:val="0"/>
          <w:sz w:val="36"/>
          <w:szCs w:val="36"/>
          <w:highlight w:val="none"/>
        </w:rPr>
        <w:t>。</w:t>
      </w:r>
    </w:p>
    <w:p>
      <w:pPr>
        <w:keepNext w:val="0"/>
        <w:keepLines w:val="0"/>
        <w:widowControl w:val="0"/>
        <w:suppressLineNumbers w:val="0"/>
        <w:snapToGrid w:val="0"/>
        <w:spacing w:beforeLines="0" w:afterLines="0" w:line="600" w:lineRule="exact"/>
        <w:ind w:left="0" w:leftChars="0" w:right="0" w:firstLine="720" w:firstLineChars="200"/>
        <w:jc w:val="both"/>
        <w:rPr>
          <w:sz w:val="36"/>
          <w:szCs w:val="36"/>
          <w:highlight w:val="none"/>
        </w:rPr>
      </w:pPr>
      <w:r>
        <w:rPr>
          <w:rFonts w:hint="eastAsia" w:ascii="仿宋_GB2312" w:hAnsi="微软雅黑" w:eastAsia="仿宋_GB2312" w:cs="宋体"/>
          <w:kern w:val="0"/>
          <w:sz w:val="36"/>
          <w:szCs w:val="36"/>
          <w:highlight w:val="none"/>
          <w:lang w:eastAsia="zh-CN"/>
        </w:rPr>
        <w:t>第四十四条【监管措施】</w:t>
      </w:r>
      <w:r>
        <w:rPr>
          <w:rFonts w:hint="eastAsia" w:ascii="仿宋_GB2312" w:hAnsi="微软雅黑" w:eastAsia="仿宋_GB2312" w:cs="宋体"/>
          <w:kern w:val="0"/>
          <w:sz w:val="36"/>
          <w:szCs w:val="36"/>
          <w:highlight w:val="none"/>
          <w:lang w:val="en-US" w:eastAsia="zh-CN"/>
        </w:rPr>
        <w:t xml:space="preserve"> </w:t>
      </w:r>
      <w:r>
        <w:rPr>
          <w:rFonts w:hint="eastAsia" w:ascii="仿宋_GB2312" w:hAnsi="微软雅黑" w:eastAsia="仿宋_GB2312" w:cs="宋体"/>
          <w:kern w:val="0"/>
          <w:sz w:val="36"/>
          <w:szCs w:val="36"/>
          <w:highlight w:val="none"/>
        </w:rPr>
        <w:t>对于资产负债管理监管指标</w:t>
      </w:r>
      <w:r>
        <w:rPr>
          <w:rFonts w:hint="eastAsia" w:ascii="仿宋_GB2312" w:hAnsi="微软雅黑" w:eastAsia="仿宋_GB2312" w:cs="宋体"/>
          <w:kern w:val="0"/>
          <w:sz w:val="36"/>
          <w:szCs w:val="36"/>
          <w:highlight w:val="none"/>
          <w:lang w:eastAsia="zh-CN"/>
        </w:rPr>
        <w:t>不达标或</w:t>
      </w:r>
      <w:r>
        <w:rPr>
          <w:rFonts w:hint="eastAsia" w:ascii="仿宋_GB2312" w:hAnsi="宋体" w:eastAsia="仿宋_GB2312" w:cs="仿宋_GB2312"/>
          <w:kern w:val="0"/>
          <w:sz w:val="36"/>
          <w:szCs w:val="36"/>
          <w:highlight w:val="none"/>
          <w:lang w:eastAsia="zh-CN"/>
        </w:rPr>
        <w:t>资产负债</w:t>
      </w:r>
      <w:r>
        <w:rPr>
          <w:rFonts w:hint="eastAsia" w:ascii="仿宋_GB2312" w:hAnsi="宋体" w:eastAsia="仿宋_GB2312" w:cs="仿宋_GB2312"/>
          <w:kern w:val="0"/>
          <w:sz w:val="36"/>
          <w:szCs w:val="36"/>
          <w:highlight w:val="none"/>
        </w:rPr>
        <w:t>管理存在缺陷的</w:t>
      </w:r>
      <w:r>
        <w:rPr>
          <w:rFonts w:hint="eastAsia" w:ascii="仿宋_GB2312" w:hAnsi="宋体" w:eastAsia="仿宋_GB2312" w:cs="仿宋_GB2312"/>
          <w:kern w:val="0"/>
          <w:sz w:val="36"/>
          <w:szCs w:val="36"/>
          <w:highlight w:val="none"/>
          <w:lang w:eastAsia="zh-CN"/>
        </w:rPr>
        <w:t>保险公司</w:t>
      </w:r>
      <w:r>
        <w:rPr>
          <w:rFonts w:hint="eastAsia" w:ascii="仿宋_GB2312" w:hAnsi="宋体" w:eastAsia="仿宋_GB2312" w:cs="仿宋_GB2312"/>
          <w:kern w:val="0"/>
          <w:sz w:val="36"/>
          <w:szCs w:val="36"/>
          <w:highlight w:val="none"/>
        </w:rPr>
        <w:t>，</w:t>
      </w:r>
      <w:r>
        <w:rPr>
          <w:rFonts w:hint="eastAsia" w:ascii="仿宋_GB2312" w:hAnsi="微软雅黑" w:eastAsia="仿宋_GB2312" w:cs="宋体"/>
          <w:kern w:val="0"/>
          <w:sz w:val="36"/>
          <w:szCs w:val="36"/>
          <w:highlight w:val="none"/>
        </w:rPr>
        <w:t>国家金融监督管理总局及其派出机构</w:t>
      </w:r>
      <w:r>
        <w:rPr>
          <w:rFonts w:hint="eastAsia" w:ascii="仿宋_GB2312" w:hAnsi="微软雅黑" w:eastAsia="仿宋_GB2312" w:cs="宋体"/>
          <w:kern w:val="0"/>
          <w:sz w:val="36"/>
          <w:szCs w:val="36"/>
          <w:highlight w:val="none"/>
          <w:lang w:eastAsia="zh-CN"/>
        </w:rPr>
        <w:t>可以</w:t>
      </w:r>
      <w:r>
        <w:rPr>
          <w:rFonts w:hint="eastAsia" w:ascii="仿宋_GB2312" w:hAnsi="宋体" w:eastAsia="仿宋_GB2312" w:cs="仿宋_GB2312"/>
          <w:kern w:val="0"/>
          <w:sz w:val="36"/>
          <w:szCs w:val="36"/>
          <w:highlight w:val="none"/>
        </w:rPr>
        <w:t>采取下列措施：</w:t>
      </w:r>
    </w:p>
    <w:p>
      <w:pPr>
        <w:keepNext w:val="0"/>
        <w:keepLines w:val="0"/>
        <w:widowControl w:val="0"/>
        <w:suppressLineNumbers w:val="0"/>
        <w:snapToGrid w:val="0"/>
        <w:spacing w:beforeLines="0" w:afterLines="0" w:line="600" w:lineRule="exact"/>
        <w:ind w:left="0" w:leftChars="0" w:right="0" w:firstLine="720" w:firstLineChars="200"/>
        <w:jc w:val="both"/>
        <w:rPr>
          <w:rFonts w:hint="eastAsia" w:ascii="仿宋_GB2312" w:hAnsi="宋体" w:eastAsia="仿宋_GB2312" w:cs="仿宋_GB2312"/>
          <w:kern w:val="0"/>
          <w:sz w:val="36"/>
          <w:szCs w:val="36"/>
          <w:highlight w:val="none"/>
          <w:lang w:eastAsia="zh-CN"/>
        </w:rPr>
      </w:pPr>
      <w:r>
        <w:rPr>
          <w:rFonts w:hint="eastAsia" w:ascii="仿宋_GB2312" w:hAnsi="宋体" w:eastAsia="仿宋_GB2312" w:cs="仿宋_GB2312"/>
          <w:kern w:val="0"/>
          <w:sz w:val="36"/>
          <w:szCs w:val="36"/>
          <w:highlight w:val="none"/>
          <w:lang w:eastAsia="zh-CN"/>
        </w:rPr>
        <w:t>（</w:t>
      </w:r>
      <w:r>
        <w:rPr>
          <w:rFonts w:hint="eastAsia" w:ascii="仿宋_GB2312" w:hAnsi="宋体" w:eastAsia="仿宋_GB2312" w:cs="仿宋_GB2312"/>
          <w:kern w:val="0"/>
          <w:sz w:val="36"/>
          <w:szCs w:val="36"/>
          <w:highlight w:val="none"/>
        </w:rPr>
        <w:t>一</w:t>
      </w:r>
      <w:r>
        <w:rPr>
          <w:rFonts w:hint="eastAsia" w:ascii="仿宋_GB2312" w:hAnsi="宋体" w:eastAsia="仿宋_GB2312" w:cs="仿宋_GB2312"/>
          <w:kern w:val="0"/>
          <w:sz w:val="36"/>
          <w:szCs w:val="36"/>
          <w:highlight w:val="none"/>
          <w:lang w:eastAsia="zh-CN"/>
        </w:rPr>
        <w:t>）</w:t>
      </w:r>
      <w:r>
        <w:rPr>
          <w:rFonts w:hint="eastAsia" w:ascii="仿宋_GB2312" w:hAnsi="宋体" w:eastAsia="仿宋_GB2312" w:cs="仿宋_GB2312"/>
          <w:kern w:val="0"/>
          <w:sz w:val="36"/>
          <w:szCs w:val="36"/>
          <w:highlight w:val="none"/>
        </w:rPr>
        <w:t>与</w:t>
      </w:r>
      <w:r>
        <w:rPr>
          <w:rFonts w:hint="eastAsia" w:ascii="仿宋_GB2312" w:hAnsi="宋体" w:eastAsia="仿宋_GB2312" w:cs="仿宋_GB2312"/>
          <w:kern w:val="0"/>
          <w:sz w:val="36"/>
          <w:szCs w:val="36"/>
          <w:highlight w:val="none"/>
          <w:lang w:eastAsia="zh-CN"/>
        </w:rPr>
        <w:t>保险公司</w:t>
      </w:r>
      <w:r>
        <w:rPr>
          <w:rFonts w:hint="eastAsia" w:ascii="仿宋_GB2312" w:hAnsi="宋体" w:eastAsia="仿宋_GB2312" w:cs="仿宋_GB2312"/>
          <w:kern w:val="0"/>
          <w:sz w:val="36"/>
          <w:szCs w:val="36"/>
          <w:highlight w:val="none"/>
        </w:rPr>
        <w:t>董事会、高级管理层进行监督管理谈话</w:t>
      </w:r>
      <w:r>
        <w:rPr>
          <w:rFonts w:hint="eastAsia" w:ascii="仿宋_GB2312" w:hAnsi="宋体" w:eastAsia="仿宋_GB2312" w:cs="仿宋_GB2312"/>
          <w:kern w:val="0"/>
          <w:sz w:val="36"/>
          <w:szCs w:val="36"/>
          <w:highlight w:val="none"/>
          <w:lang w:eastAsia="zh-CN"/>
        </w:rPr>
        <w:t>，</w:t>
      </w:r>
      <w:r>
        <w:rPr>
          <w:rFonts w:hint="eastAsia" w:ascii="仿宋_GB2312" w:eastAsia="仿宋_GB2312" w:cs="仿宋_GB2312"/>
          <w:spacing w:val="0"/>
          <w:kern w:val="0"/>
          <w:sz w:val="36"/>
          <w:szCs w:val="36"/>
          <w:highlight w:val="none"/>
          <w:shd w:val="clear" w:fill="FFFFFF"/>
        </w:rPr>
        <w:t>要求</w:t>
      </w:r>
      <w:r>
        <w:rPr>
          <w:rFonts w:hint="eastAsia" w:ascii="仿宋_GB2312" w:eastAsia="仿宋_GB2312" w:cs="仿宋_GB2312"/>
          <w:spacing w:val="0"/>
          <w:kern w:val="0"/>
          <w:sz w:val="36"/>
          <w:szCs w:val="36"/>
          <w:highlight w:val="none"/>
          <w:shd w:val="clear" w:fill="FFFFFF"/>
          <w:lang w:eastAsia="zh-CN"/>
        </w:rPr>
        <w:t>其</w:t>
      </w:r>
      <w:r>
        <w:rPr>
          <w:rFonts w:hint="eastAsia" w:ascii="仿宋_GB2312" w:eastAsia="仿宋_GB2312" w:cs="仿宋_GB2312"/>
          <w:spacing w:val="0"/>
          <w:kern w:val="0"/>
          <w:sz w:val="36"/>
          <w:szCs w:val="36"/>
          <w:highlight w:val="none"/>
          <w:shd w:val="clear" w:fill="FFFFFF"/>
        </w:rPr>
        <w:t>制定切实可行的</w:t>
      </w:r>
      <w:r>
        <w:rPr>
          <w:rFonts w:hint="eastAsia" w:ascii="仿宋_GB2312" w:eastAsia="仿宋_GB2312" w:cs="仿宋_GB2312"/>
          <w:spacing w:val="0"/>
          <w:kern w:val="0"/>
          <w:sz w:val="36"/>
          <w:szCs w:val="36"/>
          <w:highlight w:val="none"/>
          <w:shd w:val="clear" w:fill="FFFFFF"/>
          <w:lang w:eastAsia="zh-CN"/>
        </w:rPr>
        <w:t>整改</w:t>
      </w:r>
      <w:r>
        <w:rPr>
          <w:rFonts w:hint="eastAsia" w:ascii="仿宋_GB2312" w:eastAsia="仿宋_GB2312" w:cs="仿宋_GB2312"/>
          <w:spacing w:val="0"/>
          <w:kern w:val="0"/>
          <w:sz w:val="36"/>
          <w:szCs w:val="36"/>
          <w:highlight w:val="none"/>
          <w:shd w:val="clear" w:fill="FFFFFF"/>
        </w:rPr>
        <w:t>计划和限期达标计划</w:t>
      </w:r>
      <w:r>
        <w:rPr>
          <w:rFonts w:hint="eastAsia" w:ascii="仿宋_GB2312" w:eastAsia="仿宋_GB2312" w:cs="仿宋_GB2312"/>
          <w:spacing w:val="0"/>
          <w:kern w:val="0"/>
          <w:sz w:val="36"/>
          <w:szCs w:val="36"/>
          <w:highlight w:val="none"/>
          <w:shd w:val="clear" w:fill="FFFFFF"/>
          <w:lang w:eastAsia="zh-CN"/>
        </w:rPr>
        <w:t>；</w:t>
      </w:r>
    </w:p>
    <w:p>
      <w:pPr>
        <w:keepNext w:val="0"/>
        <w:keepLines w:val="0"/>
        <w:widowControl w:val="0"/>
        <w:suppressLineNumbers w:val="0"/>
        <w:snapToGrid w:val="0"/>
        <w:spacing w:beforeLines="0" w:afterLines="0" w:line="600" w:lineRule="exact"/>
        <w:ind w:left="0" w:leftChars="0" w:right="0" w:firstLine="720" w:firstLineChars="200"/>
        <w:jc w:val="both"/>
        <w:rPr>
          <w:rFonts w:hint="eastAsia" w:ascii="仿宋_GB2312" w:hAnsi="宋体" w:eastAsia="仿宋_GB2312" w:cs="仿宋_GB2312"/>
          <w:kern w:val="0"/>
          <w:sz w:val="36"/>
          <w:szCs w:val="36"/>
          <w:highlight w:val="none"/>
          <w:lang w:eastAsia="zh-CN"/>
        </w:rPr>
      </w:pPr>
      <w:r>
        <w:rPr>
          <w:rFonts w:hint="eastAsia" w:ascii="仿宋_GB2312" w:eastAsia="仿宋_GB2312" w:cs="仿宋_GB2312"/>
          <w:spacing w:val="0"/>
          <w:kern w:val="0"/>
          <w:sz w:val="36"/>
          <w:szCs w:val="36"/>
          <w:highlight w:val="none"/>
          <w:shd w:val="clear" w:fill="FFFFFF"/>
          <w:lang w:eastAsia="zh-CN"/>
        </w:rPr>
        <w:t>（二）</w:t>
      </w:r>
      <w:r>
        <w:rPr>
          <w:rFonts w:hint="eastAsia" w:ascii="仿宋_GB2312" w:eastAsia="仿宋_GB2312" w:cs="仿宋_GB2312"/>
          <w:spacing w:val="0"/>
          <w:kern w:val="0"/>
          <w:sz w:val="36"/>
          <w:szCs w:val="36"/>
          <w:highlight w:val="none"/>
          <w:shd w:val="clear" w:fill="FFFFFF"/>
        </w:rPr>
        <w:t>下发监管意见书，内容包括</w:t>
      </w:r>
      <w:r>
        <w:rPr>
          <w:rFonts w:hint="eastAsia" w:ascii="仿宋_GB2312" w:eastAsia="仿宋_GB2312" w:cs="仿宋_GB2312"/>
          <w:spacing w:val="0"/>
          <w:kern w:val="0"/>
          <w:sz w:val="36"/>
          <w:szCs w:val="36"/>
          <w:highlight w:val="none"/>
          <w:shd w:val="clear" w:fill="FFFFFF"/>
          <w:lang w:eastAsia="zh-CN"/>
        </w:rPr>
        <w:t>保险公司资产负债</w:t>
      </w:r>
      <w:r>
        <w:rPr>
          <w:rFonts w:hint="eastAsia" w:ascii="仿宋_GB2312" w:eastAsia="仿宋_GB2312" w:cs="仿宋_GB2312"/>
          <w:spacing w:val="0"/>
          <w:kern w:val="0"/>
          <w:sz w:val="36"/>
          <w:szCs w:val="36"/>
          <w:highlight w:val="none"/>
          <w:shd w:val="clear" w:fill="FFFFFF"/>
        </w:rPr>
        <w:t>管理存在的问题、拟采取的纠正措施和限期达标意见等</w:t>
      </w:r>
      <w:r>
        <w:rPr>
          <w:rFonts w:hint="eastAsia" w:ascii="仿宋_GB2312" w:eastAsia="仿宋_GB2312" w:cs="仿宋_GB2312"/>
          <w:spacing w:val="0"/>
          <w:kern w:val="0"/>
          <w:sz w:val="36"/>
          <w:szCs w:val="36"/>
          <w:highlight w:val="none"/>
          <w:shd w:val="clear" w:fill="FFFFFF"/>
          <w:lang w:eastAsia="zh-CN"/>
        </w:rPr>
        <w:t>；</w:t>
      </w:r>
    </w:p>
    <w:p>
      <w:pPr>
        <w:keepNext w:val="0"/>
        <w:keepLines w:val="0"/>
        <w:widowControl w:val="0"/>
        <w:suppressLineNumbers w:val="0"/>
        <w:snapToGrid w:val="0"/>
        <w:spacing w:beforeLines="0" w:afterLines="0" w:line="600" w:lineRule="exact"/>
        <w:ind w:left="0" w:leftChars="0" w:right="0" w:firstLine="720" w:firstLineChars="200"/>
        <w:jc w:val="both"/>
        <w:rPr>
          <w:sz w:val="36"/>
          <w:szCs w:val="36"/>
          <w:highlight w:val="none"/>
        </w:rPr>
      </w:pPr>
      <w:r>
        <w:rPr>
          <w:rFonts w:hint="eastAsia" w:ascii="仿宋_GB2312" w:hAnsi="宋体" w:eastAsia="仿宋_GB2312" w:cs="仿宋_GB2312"/>
          <w:kern w:val="0"/>
          <w:sz w:val="36"/>
          <w:szCs w:val="36"/>
          <w:highlight w:val="none"/>
          <w:lang w:eastAsia="zh-CN"/>
        </w:rPr>
        <w:t>（三）</w:t>
      </w:r>
      <w:r>
        <w:rPr>
          <w:rFonts w:hint="eastAsia" w:ascii="仿宋_GB2312" w:hAnsi="宋体" w:eastAsia="仿宋_GB2312" w:cs="仿宋_GB2312"/>
          <w:kern w:val="0"/>
          <w:sz w:val="36"/>
          <w:szCs w:val="36"/>
          <w:highlight w:val="none"/>
        </w:rPr>
        <w:t>要求</w:t>
      </w:r>
      <w:r>
        <w:rPr>
          <w:rFonts w:hint="eastAsia" w:ascii="仿宋_GB2312" w:hAnsi="宋体" w:eastAsia="仿宋_GB2312" w:cs="仿宋_GB2312"/>
          <w:kern w:val="0"/>
          <w:sz w:val="36"/>
          <w:szCs w:val="36"/>
          <w:highlight w:val="none"/>
          <w:lang w:eastAsia="zh-CN"/>
        </w:rPr>
        <w:t>保险公司</w:t>
      </w:r>
      <w:r>
        <w:rPr>
          <w:rFonts w:hint="eastAsia" w:ascii="仿宋_GB2312" w:hAnsi="宋体" w:eastAsia="仿宋_GB2312" w:cs="仿宋_GB2312"/>
          <w:kern w:val="0"/>
          <w:sz w:val="36"/>
          <w:szCs w:val="36"/>
          <w:highlight w:val="none"/>
        </w:rPr>
        <w:t>进行更严格的压力测试</w:t>
      </w:r>
      <w:r>
        <w:rPr>
          <w:rFonts w:hint="eastAsia" w:ascii="仿宋_GB2312" w:hAnsi="宋体" w:eastAsia="仿宋_GB2312" w:cs="仿宋_GB2312"/>
          <w:kern w:val="0"/>
          <w:sz w:val="36"/>
          <w:szCs w:val="36"/>
          <w:highlight w:val="none"/>
          <w:lang w:eastAsia="zh-CN"/>
        </w:rPr>
        <w:t>，</w:t>
      </w:r>
      <w:r>
        <w:rPr>
          <w:rFonts w:hint="eastAsia" w:ascii="仿宋_GB2312" w:hAnsi="宋体" w:eastAsia="仿宋_GB2312" w:cs="仿宋_GB2312"/>
          <w:kern w:val="0"/>
          <w:sz w:val="36"/>
          <w:szCs w:val="36"/>
          <w:highlight w:val="none"/>
        </w:rPr>
        <w:t>提交更有效的</w:t>
      </w:r>
      <w:r>
        <w:rPr>
          <w:rFonts w:hint="eastAsia" w:ascii="仿宋_GB2312" w:hAnsi="宋体" w:eastAsia="仿宋_GB2312" w:cs="仿宋_GB2312"/>
          <w:kern w:val="0"/>
          <w:sz w:val="36"/>
          <w:szCs w:val="36"/>
          <w:highlight w:val="none"/>
          <w:lang w:eastAsia="zh-CN"/>
        </w:rPr>
        <w:t>改善</w:t>
      </w:r>
      <w:r>
        <w:rPr>
          <w:rFonts w:hint="eastAsia" w:ascii="仿宋_GB2312" w:hAnsi="宋体" w:eastAsia="仿宋_GB2312" w:cs="仿宋_GB2312"/>
          <w:kern w:val="0"/>
          <w:sz w:val="36"/>
          <w:szCs w:val="36"/>
          <w:highlight w:val="none"/>
        </w:rPr>
        <w:t>计划；</w:t>
      </w:r>
    </w:p>
    <w:p>
      <w:pPr>
        <w:keepNext w:val="0"/>
        <w:keepLines w:val="0"/>
        <w:widowControl w:val="0"/>
        <w:suppressLineNumbers w:val="0"/>
        <w:snapToGrid w:val="0"/>
        <w:spacing w:beforeLines="0" w:afterLines="0" w:line="600" w:lineRule="exact"/>
        <w:ind w:left="0" w:leftChars="0" w:right="0" w:firstLine="720" w:firstLineChars="200"/>
        <w:jc w:val="both"/>
        <w:rPr>
          <w:rFonts w:hint="eastAsia" w:ascii="仿宋_GB2312" w:hAnsi="宋体" w:eastAsia="仿宋_GB2312" w:cs="仿宋_GB2312"/>
          <w:kern w:val="0"/>
          <w:sz w:val="36"/>
          <w:szCs w:val="36"/>
          <w:highlight w:val="none"/>
        </w:rPr>
      </w:pPr>
      <w:r>
        <w:rPr>
          <w:rFonts w:hint="eastAsia" w:ascii="仿宋_GB2312" w:hAnsi="宋体" w:eastAsia="仿宋_GB2312" w:cs="仿宋_GB2312"/>
          <w:kern w:val="0"/>
          <w:sz w:val="36"/>
          <w:szCs w:val="36"/>
          <w:highlight w:val="none"/>
          <w:lang w:eastAsia="zh-CN"/>
        </w:rPr>
        <w:t>（四）</w:t>
      </w:r>
      <w:r>
        <w:rPr>
          <w:rFonts w:hint="eastAsia" w:ascii="仿宋_GB2312" w:hAnsi="宋体" w:eastAsia="仿宋_GB2312" w:cs="仿宋_GB2312"/>
          <w:kern w:val="0"/>
          <w:sz w:val="36"/>
          <w:szCs w:val="36"/>
          <w:highlight w:val="none"/>
        </w:rPr>
        <w:t>要求</w:t>
      </w:r>
      <w:r>
        <w:rPr>
          <w:rFonts w:hint="eastAsia" w:ascii="仿宋_GB2312" w:hAnsi="宋体" w:eastAsia="仿宋_GB2312" w:cs="仿宋_GB2312"/>
          <w:kern w:val="0"/>
          <w:sz w:val="36"/>
          <w:szCs w:val="36"/>
          <w:highlight w:val="none"/>
          <w:lang w:eastAsia="zh-CN"/>
        </w:rPr>
        <w:t>保险公司</w:t>
      </w:r>
      <w:r>
        <w:rPr>
          <w:rFonts w:hint="eastAsia" w:ascii="仿宋_GB2312" w:hAnsi="宋体" w:eastAsia="仿宋_GB2312" w:cs="仿宋_GB2312"/>
          <w:kern w:val="0"/>
          <w:sz w:val="36"/>
          <w:szCs w:val="36"/>
          <w:highlight w:val="none"/>
        </w:rPr>
        <w:t>增加</w:t>
      </w:r>
      <w:r>
        <w:rPr>
          <w:rFonts w:hint="eastAsia" w:ascii="仿宋_GB2312" w:hAnsi="宋体" w:eastAsia="仿宋_GB2312" w:cs="仿宋_GB2312"/>
          <w:kern w:val="0"/>
          <w:sz w:val="36"/>
          <w:szCs w:val="36"/>
          <w:highlight w:val="none"/>
          <w:lang w:eastAsia="zh-CN"/>
        </w:rPr>
        <w:t>资产负债</w:t>
      </w:r>
      <w:r>
        <w:rPr>
          <w:rFonts w:hint="eastAsia" w:ascii="仿宋_GB2312" w:hAnsi="宋体" w:eastAsia="仿宋_GB2312" w:cs="仿宋_GB2312"/>
          <w:kern w:val="0"/>
          <w:sz w:val="36"/>
          <w:szCs w:val="36"/>
          <w:highlight w:val="none"/>
        </w:rPr>
        <w:t>管理报告的内容，提高报告频率；</w:t>
      </w:r>
    </w:p>
    <w:p>
      <w:pPr>
        <w:keepNext w:val="0"/>
        <w:keepLines w:val="0"/>
        <w:widowControl w:val="0"/>
        <w:suppressLineNumbers w:val="0"/>
        <w:snapToGrid w:val="0"/>
        <w:spacing w:beforeLines="0" w:afterLines="0" w:line="600" w:lineRule="exact"/>
        <w:ind w:left="0" w:leftChars="0" w:right="0" w:firstLine="720" w:firstLineChars="200"/>
        <w:jc w:val="both"/>
        <w:rPr>
          <w:rFonts w:hint="eastAsia" w:eastAsia="仿宋_GB2312"/>
          <w:sz w:val="36"/>
          <w:szCs w:val="36"/>
          <w:highlight w:val="none"/>
          <w:lang w:eastAsia="zh-CN"/>
        </w:rPr>
      </w:pPr>
      <w:r>
        <w:rPr>
          <w:rFonts w:hint="eastAsia" w:ascii="仿宋_GB2312" w:hAnsi="宋体" w:eastAsia="仿宋_GB2312" w:cs="仿宋_GB2312"/>
          <w:kern w:val="0"/>
          <w:sz w:val="36"/>
          <w:szCs w:val="36"/>
          <w:highlight w:val="none"/>
          <w:lang w:eastAsia="zh-CN"/>
        </w:rPr>
        <w:t>（五）</w:t>
      </w:r>
      <w:r>
        <w:rPr>
          <w:rFonts w:hint="eastAsia" w:ascii="仿宋_GB2312" w:hAnsi="宋体" w:eastAsia="仿宋_GB2312" w:cs="仿宋_GB2312"/>
          <w:kern w:val="0"/>
          <w:sz w:val="36"/>
          <w:szCs w:val="36"/>
          <w:highlight w:val="none"/>
        </w:rPr>
        <w:t>增加对</w:t>
      </w:r>
      <w:r>
        <w:rPr>
          <w:rFonts w:hint="eastAsia" w:ascii="仿宋_GB2312" w:hAnsi="宋体" w:eastAsia="仿宋_GB2312" w:cs="仿宋_GB2312"/>
          <w:kern w:val="0"/>
          <w:sz w:val="36"/>
          <w:szCs w:val="36"/>
          <w:highlight w:val="none"/>
          <w:lang w:eastAsia="zh-CN"/>
        </w:rPr>
        <w:t>保险公司</w:t>
      </w:r>
      <w:r>
        <w:rPr>
          <w:rFonts w:hint="eastAsia" w:ascii="仿宋_GB2312" w:hAnsi="宋体" w:eastAsia="仿宋_GB2312" w:cs="仿宋_GB2312"/>
          <w:kern w:val="0"/>
          <w:sz w:val="36"/>
          <w:szCs w:val="36"/>
          <w:highlight w:val="none"/>
        </w:rPr>
        <w:t>现场检查的内容，扩大检查范围，并提高检查频率</w:t>
      </w:r>
      <w:r>
        <w:rPr>
          <w:rFonts w:hint="eastAsia" w:ascii="仿宋_GB2312" w:hAnsi="宋体" w:eastAsia="仿宋_GB2312" w:cs="仿宋_GB2312"/>
          <w:kern w:val="0"/>
          <w:sz w:val="36"/>
          <w:szCs w:val="36"/>
          <w:highlight w:val="none"/>
          <w:lang w:eastAsia="zh-CN"/>
        </w:rPr>
        <w:t>。</w:t>
      </w:r>
    </w:p>
    <w:p>
      <w:pPr>
        <w:keepNext w:val="0"/>
        <w:keepLines w:val="0"/>
        <w:widowControl w:val="0"/>
        <w:suppressLineNumbers w:val="0"/>
        <w:snapToGrid w:val="0"/>
        <w:spacing w:beforeLines="0" w:afterLines="0" w:line="600" w:lineRule="exact"/>
        <w:ind w:left="0" w:leftChars="0" w:right="0" w:firstLine="720" w:firstLineChars="200"/>
        <w:jc w:val="both"/>
        <w:rPr>
          <w:b w:val="0"/>
          <w:bCs w:val="0"/>
          <w:sz w:val="36"/>
          <w:szCs w:val="36"/>
          <w:highlight w:val="none"/>
        </w:rPr>
      </w:pPr>
      <w:r>
        <w:rPr>
          <w:rFonts w:hint="eastAsia" w:ascii="仿宋_GB2312" w:hAnsi="宋体" w:eastAsia="仿宋_GB2312" w:cs="仿宋_GB2312"/>
          <w:kern w:val="0"/>
          <w:sz w:val="36"/>
          <w:szCs w:val="36"/>
          <w:highlight w:val="none"/>
          <w:lang w:eastAsia="zh-CN"/>
        </w:rPr>
        <w:t>第四十五条</w:t>
      </w:r>
      <w:r>
        <w:rPr>
          <w:rFonts w:hint="eastAsia" w:ascii="仿宋_GB2312" w:hAnsi="微软雅黑" w:eastAsia="仿宋_GB2312" w:cs="宋体"/>
          <w:kern w:val="0"/>
          <w:sz w:val="36"/>
          <w:szCs w:val="36"/>
          <w:highlight w:val="none"/>
          <w:lang w:eastAsia="zh-CN"/>
        </w:rPr>
        <w:t>【监管措施】</w:t>
      </w:r>
      <w:r>
        <w:rPr>
          <w:rFonts w:hint="eastAsia" w:ascii="仿宋_GB2312" w:hAnsi="微软雅黑" w:eastAsia="仿宋_GB2312" w:cs="宋体"/>
          <w:kern w:val="0"/>
          <w:sz w:val="36"/>
          <w:szCs w:val="36"/>
          <w:highlight w:val="none"/>
          <w:lang w:val="en-US" w:eastAsia="zh-CN"/>
        </w:rPr>
        <w:t xml:space="preserve"> </w:t>
      </w:r>
      <w:r>
        <w:rPr>
          <w:rFonts w:hint="eastAsia" w:ascii="仿宋_GB2312" w:hAnsi="微软雅黑" w:eastAsia="仿宋_GB2312" w:cs="宋体"/>
          <w:kern w:val="0"/>
          <w:sz w:val="36"/>
          <w:szCs w:val="36"/>
          <w:highlight w:val="none"/>
        </w:rPr>
        <w:t>对于</w:t>
      </w:r>
      <w:r>
        <w:rPr>
          <w:rFonts w:hint="eastAsia" w:ascii="仿宋_GB2312" w:hAnsi="微软雅黑" w:eastAsia="仿宋_GB2312" w:cs="宋体"/>
          <w:kern w:val="0"/>
          <w:sz w:val="36"/>
          <w:szCs w:val="36"/>
          <w:highlight w:val="none"/>
          <w:lang w:eastAsia="zh-CN"/>
        </w:rPr>
        <w:t>到期整改不到位</w:t>
      </w:r>
      <w:r>
        <w:rPr>
          <w:rFonts w:hint="eastAsia" w:ascii="仿宋_GB2312" w:hAnsi="宋体" w:eastAsia="仿宋_GB2312" w:cs="仿宋_GB2312"/>
          <w:kern w:val="0"/>
          <w:sz w:val="36"/>
          <w:szCs w:val="36"/>
          <w:highlight w:val="none"/>
        </w:rPr>
        <w:t>的</w:t>
      </w:r>
      <w:r>
        <w:rPr>
          <w:rFonts w:hint="eastAsia" w:ascii="仿宋_GB2312" w:hAnsi="宋体" w:eastAsia="仿宋_GB2312" w:cs="仿宋_GB2312"/>
          <w:kern w:val="0"/>
          <w:sz w:val="36"/>
          <w:szCs w:val="36"/>
          <w:highlight w:val="none"/>
          <w:lang w:eastAsia="zh-CN"/>
        </w:rPr>
        <w:t>保险公司</w:t>
      </w:r>
      <w:r>
        <w:rPr>
          <w:rFonts w:hint="eastAsia" w:ascii="仿宋_GB2312" w:hAnsi="宋体" w:eastAsia="仿宋_GB2312" w:cs="仿宋_GB2312"/>
          <w:kern w:val="0"/>
          <w:sz w:val="36"/>
          <w:szCs w:val="36"/>
          <w:highlight w:val="none"/>
        </w:rPr>
        <w:t>，</w:t>
      </w:r>
      <w:r>
        <w:rPr>
          <w:rFonts w:hint="eastAsia" w:ascii="仿宋_GB2312" w:hAnsi="微软雅黑" w:eastAsia="仿宋_GB2312" w:cs="宋体"/>
          <w:kern w:val="0"/>
          <w:sz w:val="36"/>
          <w:szCs w:val="36"/>
          <w:highlight w:val="none"/>
        </w:rPr>
        <w:t>国家金融监督管理总局及其派出机构</w:t>
      </w:r>
      <w:r>
        <w:rPr>
          <w:rFonts w:hint="eastAsia" w:ascii="仿宋_GB2312" w:hAnsi="微软雅黑" w:eastAsia="仿宋_GB2312" w:cs="宋体"/>
          <w:kern w:val="0"/>
          <w:sz w:val="36"/>
          <w:szCs w:val="36"/>
          <w:highlight w:val="none"/>
          <w:lang w:eastAsia="zh-CN"/>
        </w:rPr>
        <w:t>可依法</w:t>
      </w:r>
      <w:r>
        <w:rPr>
          <w:rFonts w:hint="eastAsia" w:ascii="仿宋_GB2312" w:hAnsi="宋体" w:eastAsia="仿宋_GB2312" w:cs="仿宋_GB2312"/>
          <w:kern w:val="0"/>
          <w:sz w:val="36"/>
          <w:szCs w:val="36"/>
          <w:highlight w:val="none"/>
          <w:lang w:eastAsia="zh-CN"/>
        </w:rPr>
        <w:t>要求保险公司</w:t>
      </w:r>
      <w:r>
        <w:rPr>
          <w:rFonts w:hint="eastAsia" w:ascii="仿宋_GB2312" w:hAnsi="微软雅黑" w:eastAsia="仿宋_GB2312" w:cs="宋体"/>
          <w:kern w:val="0"/>
          <w:sz w:val="36"/>
          <w:szCs w:val="36"/>
          <w:highlight w:val="none"/>
          <w:lang w:val="en-US" w:eastAsia="zh-CN" w:bidi="ar-SA"/>
        </w:rPr>
        <w:t>调整保险业务结构或</w:t>
      </w:r>
      <w:r>
        <w:rPr>
          <w:rFonts w:hint="eastAsia" w:ascii="仿宋_GB2312" w:hAnsi="微软雅黑" w:eastAsia="仿宋_GB2312" w:cs="宋体"/>
          <w:kern w:val="0"/>
          <w:sz w:val="36"/>
          <w:szCs w:val="36"/>
          <w:highlight w:val="none"/>
          <w:lang w:eastAsia="zh-CN"/>
        </w:rPr>
        <w:t>资产配置结构，改善资产负债匹配状况，以及采取</w:t>
      </w:r>
      <w:r>
        <w:rPr>
          <w:rFonts w:hint="eastAsia" w:ascii="仿宋_GB2312" w:hAnsi="宋体" w:eastAsia="仿宋_GB2312" w:cs="仿宋_GB2312"/>
          <w:b w:val="0"/>
          <w:bCs w:val="0"/>
          <w:kern w:val="0"/>
          <w:sz w:val="36"/>
          <w:szCs w:val="36"/>
          <w:highlight w:val="none"/>
        </w:rPr>
        <w:t>法律法规规定的</w:t>
      </w:r>
      <w:r>
        <w:rPr>
          <w:rFonts w:hint="eastAsia" w:ascii="仿宋_GB2312" w:hAnsi="宋体" w:eastAsia="仿宋_GB2312" w:cs="仿宋_GB2312"/>
          <w:b w:val="0"/>
          <w:bCs w:val="0"/>
          <w:kern w:val="0"/>
          <w:sz w:val="36"/>
          <w:szCs w:val="36"/>
          <w:highlight w:val="none"/>
          <w:lang w:eastAsia="zh-CN"/>
        </w:rPr>
        <w:t>其他</w:t>
      </w:r>
      <w:r>
        <w:rPr>
          <w:rFonts w:hint="eastAsia" w:ascii="仿宋_GB2312" w:hAnsi="宋体" w:eastAsia="仿宋_GB2312" w:cs="仿宋_GB2312"/>
          <w:b w:val="0"/>
          <w:bCs w:val="0"/>
          <w:kern w:val="0"/>
          <w:sz w:val="36"/>
          <w:szCs w:val="36"/>
          <w:highlight w:val="none"/>
        </w:rPr>
        <w:t>措施。</w:t>
      </w:r>
    </w:p>
    <w:p>
      <w:pPr>
        <w:keepNext w:val="0"/>
        <w:keepLines w:val="0"/>
        <w:widowControl w:val="0"/>
        <w:suppressLineNumbers w:val="0"/>
        <w:snapToGrid w:val="0"/>
        <w:spacing w:beforeLines="0" w:afterLines="0" w:line="600" w:lineRule="exact"/>
        <w:ind w:left="0" w:leftChars="0" w:right="0" w:firstLine="720" w:firstLineChars="200"/>
        <w:jc w:val="both"/>
        <w:rPr>
          <w:rFonts w:hint="eastAsia" w:ascii="仿宋_GB2312" w:hAnsi="微软雅黑" w:eastAsia="仿宋_GB2312" w:cs="宋体"/>
          <w:kern w:val="0"/>
          <w:sz w:val="36"/>
          <w:szCs w:val="36"/>
          <w:highlight w:val="none"/>
        </w:rPr>
      </w:pPr>
      <w:r>
        <w:rPr>
          <w:rFonts w:hint="eastAsia" w:ascii="仿宋_GB2312" w:hAnsi="宋体" w:eastAsia="仿宋_GB2312" w:cs="仿宋_GB2312"/>
          <w:kern w:val="0"/>
          <w:sz w:val="36"/>
          <w:szCs w:val="36"/>
          <w:highlight w:val="none"/>
          <w:lang w:eastAsia="zh-CN"/>
        </w:rPr>
        <w:t>第四十六条【行政处罚】</w:t>
      </w:r>
      <w:r>
        <w:rPr>
          <w:rFonts w:hint="eastAsia" w:ascii="仿宋_GB2312" w:hAnsi="宋体" w:eastAsia="仿宋_GB2312" w:cs="仿宋_GB2312"/>
          <w:kern w:val="0"/>
          <w:sz w:val="36"/>
          <w:szCs w:val="36"/>
          <w:highlight w:val="none"/>
          <w:lang w:val="en-US" w:eastAsia="zh-CN"/>
        </w:rPr>
        <w:t xml:space="preserve"> </w:t>
      </w:r>
      <w:r>
        <w:rPr>
          <w:rFonts w:hint="eastAsia" w:ascii="仿宋_GB2312" w:hAnsi="宋体" w:eastAsia="仿宋_GB2312" w:cs="仿宋_GB2312"/>
          <w:b w:val="0"/>
          <w:bCs w:val="0"/>
          <w:kern w:val="0"/>
          <w:sz w:val="36"/>
          <w:szCs w:val="36"/>
          <w:highlight w:val="none"/>
          <w:lang w:eastAsia="zh-CN"/>
        </w:rPr>
        <w:t>保险公司违反本办法规定的，</w:t>
      </w:r>
      <w:r>
        <w:rPr>
          <w:rFonts w:hint="eastAsia" w:ascii="仿宋_GB2312" w:hAnsi="微软雅黑" w:eastAsia="仿宋_GB2312" w:cs="宋体"/>
          <w:kern w:val="0"/>
          <w:sz w:val="36"/>
          <w:szCs w:val="36"/>
          <w:highlight w:val="none"/>
        </w:rPr>
        <w:t>国家金融监督管理总局及其派出机构</w:t>
      </w:r>
      <w:r>
        <w:rPr>
          <w:rFonts w:hint="eastAsia" w:ascii="仿宋_GB2312" w:hAnsi="微软雅黑" w:eastAsia="仿宋_GB2312" w:cs="宋体"/>
          <w:kern w:val="0"/>
          <w:sz w:val="36"/>
          <w:szCs w:val="36"/>
          <w:highlight w:val="none"/>
          <w:lang w:eastAsia="zh-CN"/>
        </w:rPr>
        <w:t>依据有关法律法规实施行政处罚。</w:t>
      </w:r>
      <w:r>
        <w:rPr>
          <w:rFonts w:hint="eastAsia" w:ascii="仿宋_GB2312" w:hAnsi="微软雅黑" w:eastAsia="仿宋_GB2312" w:cs="宋体"/>
          <w:kern w:val="0"/>
          <w:sz w:val="36"/>
          <w:szCs w:val="36"/>
          <w:highlight w:val="none"/>
        </w:rPr>
        <w:t>法律、行政法规没有规定</w:t>
      </w:r>
      <w:r>
        <w:rPr>
          <w:rFonts w:hint="eastAsia" w:ascii="仿宋_GB2312" w:hAnsi="微软雅黑" w:eastAsia="仿宋_GB2312" w:cs="宋体"/>
          <w:kern w:val="0"/>
          <w:sz w:val="36"/>
          <w:szCs w:val="36"/>
          <w:highlight w:val="none"/>
          <w:lang w:eastAsia="zh-CN"/>
        </w:rPr>
        <w:t>但违反本办法</w:t>
      </w:r>
      <w:r>
        <w:rPr>
          <w:rFonts w:hint="eastAsia" w:ascii="仿宋_GB2312" w:hAnsi="微软雅黑" w:eastAsia="仿宋_GB2312" w:cs="宋体"/>
          <w:kern w:val="0"/>
          <w:sz w:val="36"/>
          <w:szCs w:val="36"/>
          <w:highlight w:val="none"/>
        </w:rPr>
        <w:t>的，国家金融监督管理总局及其派出机构</w:t>
      </w:r>
      <w:r>
        <w:rPr>
          <w:rFonts w:hint="eastAsia" w:ascii="仿宋_GB2312" w:hAnsi="宋体" w:eastAsia="仿宋_GB2312" w:cs="仿宋_GB2312"/>
          <w:kern w:val="0"/>
          <w:sz w:val="36"/>
          <w:szCs w:val="36"/>
          <w:highlight w:val="none"/>
          <w:lang w:eastAsia="zh-CN"/>
        </w:rPr>
        <w:t>责令改正；逾期不改正或情节严重的，区分不同情形，</w:t>
      </w:r>
      <w:r>
        <w:rPr>
          <w:rFonts w:hint="eastAsia" w:ascii="仿宋_GB2312" w:hAnsi="微软雅黑" w:eastAsia="仿宋_GB2312" w:cs="宋体"/>
          <w:kern w:val="0"/>
          <w:sz w:val="36"/>
          <w:szCs w:val="36"/>
          <w:highlight w:val="none"/>
        </w:rPr>
        <w:t>对</w:t>
      </w:r>
      <w:r>
        <w:rPr>
          <w:rFonts w:hint="eastAsia" w:ascii="仿宋_GB2312" w:hAnsi="微软雅黑" w:eastAsia="仿宋_GB2312" w:cs="宋体"/>
          <w:kern w:val="0"/>
          <w:sz w:val="36"/>
          <w:szCs w:val="36"/>
          <w:highlight w:val="none"/>
          <w:lang w:eastAsia="zh-CN"/>
        </w:rPr>
        <w:t>保险公司</w:t>
      </w:r>
      <w:r>
        <w:rPr>
          <w:rFonts w:hint="eastAsia" w:ascii="仿宋_GB2312" w:hAnsi="微软雅黑" w:eastAsia="仿宋_GB2312" w:cs="宋体"/>
          <w:kern w:val="0"/>
          <w:sz w:val="36"/>
          <w:szCs w:val="36"/>
          <w:highlight w:val="none"/>
        </w:rPr>
        <w:t>及其直接负责的董事、高级管理人员和其他直接责任人员，处以警告、通报批评、十万元以下罚款；危害金融安全且有危害后果的，处以警告、通报批评、二十万元以下罚款。</w:t>
      </w:r>
    </w:p>
    <w:p>
      <w:pPr>
        <w:widowControl/>
        <w:shd w:val="clear" w:color="auto" w:fill="FEFEFE"/>
        <w:snapToGrid w:val="0"/>
        <w:spacing w:beforeLines="0" w:afterLines="0" w:line="600" w:lineRule="exact"/>
        <w:ind w:right="120" w:firstLine="640"/>
        <w:rPr>
          <w:rFonts w:ascii="微软雅黑" w:hAnsi="微软雅黑" w:eastAsia="微软雅黑" w:cs="宋体"/>
          <w:kern w:val="0"/>
          <w:sz w:val="36"/>
          <w:szCs w:val="36"/>
          <w:highlight w:val="none"/>
        </w:rPr>
      </w:pPr>
      <w:r>
        <w:rPr>
          <w:rFonts w:hint="eastAsia" w:ascii="仿宋_GB2312" w:hAnsi="微软雅黑" w:eastAsia="仿宋_GB2312" w:cs="宋体"/>
          <w:kern w:val="0"/>
          <w:sz w:val="36"/>
          <w:szCs w:val="36"/>
          <w:highlight w:val="none"/>
        </w:rPr>
        <w:t> </w:t>
      </w:r>
    </w:p>
    <w:p>
      <w:pPr>
        <w:pStyle w:val="2"/>
        <w:numPr>
          <w:ilvl w:val="0"/>
          <w:numId w:val="5"/>
        </w:numPr>
        <w:snapToGrid w:val="0"/>
        <w:spacing w:before="0" w:beforeLines="0" w:after="0" w:afterLines="0" w:line="600" w:lineRule="exact"/>
        <w:ind w:left="2" w:leftChars="-5" w:hanging="18" w:hangingChars="5"/>
        <w:jc w:val="center"/>
        <w:rPr>
          <w:rFonts w:ascii="宋体" w:hAnsi="宋体" w:eastAsia="宋体"/>
          <w:b/>
          <w:bCs/>
          <w:sz w:val="36"/>
          <w:szCs w:val="36"/>
          <w:highlight w:val="none"/>
        </w:rPr>
      </w:pPr>
      <w:r>
        <w:rPr>
          <w:rFonts w:hint="eastAsia" w:ascii="宋体" w:hAnsi="宋体" w:eastAsia="宋体"/>
          <w:b/>
          <w:bCs/>
          <w:sz w:val="36"/>
          <w:szCs w:val="36"/>
          <w:highlight w:val="none"/>
        </w:rPr>
        <w:t>附则</w:t>
      </w:r>
    </w:p>
    <w:p>
      <w:pPr>
        <w:widowControl/>
        <w:shd w:val="clear" w:color="auto" w:fill="FEFEFE"/>
        <w:snapToGrid w:val="0"/>
        <w:spacing w:beforeLines="0" w:afterLines="0" w:line="600" w:lineRule="exact"/>
        <w:ind w:left="640" w:right="120" w:firstLine="640"/>
        <w:rPr>
          <w:rFonts w:ascii="微软雅黑" w:hAnsi="微软雅黑" w:eastAsia="微软雅黑" w:cs="宋体"/>
          <w:kern w:val="0"/>
          <w:sz w:val="36"/>
          <w:szCs w:val="36"/>
          <w:highlight w:val="none"/>
        </w:rPr>
      </w:pPr>
      <w:r>
        <w:rPr>
          <w:rFonts w:hint="eastAsia" w:ascii="仿宋_GB2312" w:hAnsi="微软雅黑" w:eastAsia="仿宋_GB2312" w:cs="宋体"/>
          <w:kern w:val="0"/>
          <w:sz w:val="36"/>
          <w:szCs w:val="36"/>
          <w:highlight w:val="none"/>
        </w:rPr>
        <w:t> </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hint="eastAsia" w:ascii="仿宋_GB2312" w:hAnsi="Times New Roman" w:eastAsia="仿宋_GB2312" w:cs="Times New Roman"/>
          <w:kern w:val="0"/>
          <w:sz w:val="36"/>
          <w:szCs w:val="36"/>
          <w:highlight w:val="none"/>
        </w:rPr>
      </w:pPr>
      <w:r>
        <w:rPr>
          <w:rFonts w:hint="eastAsia" w:ascii="仿宋_GB2312" w:hAnsi="微软雅黑" w:eastAsia="仿宋_GB2312" w:cs="宋体"/>
          <w:kern w:val="0"/>
          <w:sz w:val="36"/>
          <w:szCs w:val="36"/>
          <w:highlight w:val="none"/>
          <w:lang w:val="en-US" w:eastAsia="zh-CN" w:bidi="ar-SA"/>
        </w:rPr>
        <w:t>第四十七条【适用主体】</w:t>
      </w:r>
      <w:r>
        <w:rPr>
          <w:rFonts w:ascii="仿宋_GB2312" w:hAnsi="微软雅黑" w:eastAsia="仿宋_GB2312" w:cs="宋体"/>
          <w:kern w:val="0"/>
          <w:sz w:val="36"/>
          <w:szCs w:val="36"/>
          <w:highlight w:val="none"/>
        </w:rPr>
        <w:t> </w:t>
      </w:r>
      <w:r>
        <w:rPr>
          <w:rFonts w:hint="eastAsia" w:ascii="仿宋_GB2312" w:hAnsi="微软雅黑" w:eastAsia="仿宋_GB2312" w:cs="宋体"/>
          <w:kern w:val="0"/>
          <w:sz w:val="36"/>
          <w:szCs w:val="36"/>
          <w:highlight w:val="none"/>
          <w:lang w:eastAsia="zh-CN"/>
        </w:rPr>
        <w:t>政策性保险公司、</w:t>
      </w:r>
      <w:r>
        <w:rPr>
          <w:rFonts w:hint="eastAsia" w:ascii="仿宋_GB2312" w:hAnsi="微软雅黑" w:eastAsia="仿宋_GB2312" w:cs="宋体"/>
          <w:kern w:val="0"/>
          <w:sz w:val="36"/>
          <w:szCs w:val="36"/>
          <w:highlight w:val="none"/>
        </w:rPr>
        <w:t>相互保险组织、外国保险公司分公司</w:t>
      </w:r>
      <w:r>
        <w:rPr>
          <w:rFonts w:hint="eastAsia" w:ascii="仿宋_GB2312" w:hAnsi="微软雅黑" w:eastAsia="仿宋_GB2312" w:cs="宋体"/>
          <w:kern w:val="0"/>
          <w:sz w:val="36"/>
          <w:szCs w:val="36"/>
          <w:highlight w:val="none"/>
          <w:lang w:eastAsia="zh-CN"/>
        </w:rPr>
        <w:t>参照</w:t>
      </w:r>
      <w:r>
        <w:rPr>
          <w:rFonts w:hint="eastAsia" w:ascii="仿宋_GB2312" w:hAnsi="微软雅黑" w:eastAsia="仿宋_GB2312" w:cs="宋体"/>
          <w:kern w:val="0"/>
          <w:sz w:val="36"/>
          <w:szCs w:val="36"/>
          <w:highlight w:val="none"/>
        </w:rPr>
        <w:t>适用本办法。</w:t>
      </w:r>
      <w:r>
        <w:rPr>
          <w:rFonts w:hint="eastAsia" w:ascii="仿宋_GB2312" w:hAnsi="Times New Roman" w:eastAsia="仿宋_GB2312" w:cs="Times New Roman"/>
          <w:kern w:val="0"/>
          <w:sz w:val="36"/>
          <w:szCs w:val="36"/>
          <w:highlight w:val="none"/>
        </w:rPr>
        <w:t>未设置董事会的外国保险公司分公司，由高级管理层履行董事会相应职责并承担责任。</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hint="eastAsia" w:ascii="仿宋_GB2312" w:hAnsi="Times New Roman" w:eastAsia="仿宋_GB2312" w:cs="Times New Roman"/>
          <w:kern w:val="0"/>
          <w:sz w:val="36"/>
          <w:szCs w:val="36"/>
          <w:highlight w:val="none"/>
          <w:lang w:eastAsia="zh-CN"/>
        </w:rPr>
      </w:pPr>
      <w:r>
        <w:rPr>
          <w:rFonts w:hint="eastAsia" w:ascii="仿宋_GB2312" w:hAnsi="Times New Roman" w:eastAsia="仿宋_GB2312" w:cs="Times New Roman"/>
          <w:kern w:val="0"/>
          <w:sz w:val="36"/>
          <w:szCs w:val="36"/>
          <w:highlight w:val="none"/>
          <w:lang w:eastAsia="zh-CN"/>
        </w:rPr>
        <w:t>第四十八条【压力测试情景】</w:t>
      </w:r>
      <w:r>
        <w:rPr>
          <w:rFonts w:hint="eastAsia" w:ascii="仿宋_GB2312" w:hAnsi="Times New Roman" w:eastAsia="仿宋_GB2312" w:cs="Times New Roman"/>
          <w:kern w:val="0"/>
          <w:sz w:val="36"/>
          <w:szCs w:val="36"/>
          <w:highlight w:val="none"/>
          <w:lang w:val="en-US" w:eastAsia="zh-CN"/>
        </w:rPr>
        <w:t xml:space="preserve"> </w:t>
      </w:r>
      <w:r>
        <w:rPr>
          <w:rFonts w:hint="eastAsia" w:ascii="仿宋_GB2312" w:hAnsi="Times New Roman" w:eastAsia="仿宋_GB2312" w:cs="Times New Roman"/>
          <w:kern w:val="0"/>
          <w:sz w:val="36"/>
          <w:szCs w:val="36"/>
          <w:highlight w:val="none"/>
          <w:lang w:eastAsia="zh-CN"/>
        </w:rPr>
        <w:t>保险公司资产负债管理压力情景规则另行制定。</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hint="eastAsia" w:ascii="仿宋_GB2312" w:hAnsi="Times New Roman" w:eastAsia="仿宋_GB2312" w:cs="Times New Roman"/>
          <w:kern w:val="0"/>
          <w:sz w:val="36"/>
          <w:szCs w:val="36"/>
          <w:highlight w:val="none"/>
          <w:lang w:eastAsia="zh-CN"/>
        </w:rPr>
      </w:pPr>
      <w:r>
        <w:rPr>
          <w:rFonts w:hint="eastAsia" w:ascii="仿宋_GB2312" w:hAnsi="Times New Roman" w:eastAsia="仿宋_GB2312" w:cs="Times New Roman"/>
          <w:kern w:val="0"/>
          <w:sz w:val="36"/>
          <w:szCs w:val="36"/>
          <w:highlight w:val="none"/>
          <w:lang w:eastAsia="zh-CN"/>
        </w:rPr>
        <w:t>第四十九条【补充解释】</w:t>
      </w:r>
      <w:r>
        <w:rPr>
          <w:rFonts w:hint="eastAsia" w:ascii="仿宋_GB2312" w:hAnsi="Times New Roman" w:eastAsia="仿宋_GB2312" w:cs="Times New Roman"/>
          <w:kern w:val="0"/>
          <w:sz w:val="36"/>
          <w:szCs w:val="36"/>
          <w:highlight w:val="none"/>
          <w:lang w:val="en-US" w:eastAsia="zh-CN"/>
        </w:rPr>
        <w:t xml:space="preserve"> </w:t>
      </w:r>
      <w:r>
        <w:rPr>
          <w:rFonts w:hint="eastAsia" w:ascii="仿宋_GB2312" w:hAnsi="Times New Roman" w:eastAsia="仿宋_GB2312" w:cs="Times New Roman"/>
          <w:kern w:val="0"/>
          <w:sz w:val="36"/>
          <w:szCs w:val="36"/>
          <w:highlight w:val="none"/>
        </w:rPr>
        <w:t>本办法</w:t>
      </w:r>
      <w:r>
        <w:rPr>
          <w:rFonts w:hint="eastAsia" w:ascii="仿宋_GB2312" w:hAnsi="Times New Roman" w:eastAsia="仿宋_GB2312" w:cs="Times New Roman"/>
          <w:kern w:val="0"/>
          <w:sz w:val="36"/>
          <w:szCs w:val="36"/>
          <w:highlight w:val="none"/>
          <w:lang w:eastAsia="zh-CN"/>
        </w:rPr>
        <w:t>所称</w:t>
      </w:r>
      <w:r>
        <w:rPr>
          <w:rFonts w:hint="eastAsia" w:ascii="仿宋_GB2312" w:hAnsi="Times New Roman" w:eastAsia="仿宋_GB2312" w:cs="Times New Roman"/>
          <w:kern w:val="0"/>
          <w:sz w:val="36"/>
          <w:szCs w:val="36"/>
          <w:highlight w:val="none"/>
        </w:rPr>
        <w:t>“以上”</w:t>
      </w:r>
      <w:r>
        <w:rPr>
          <w:rFonts w:hint="eastAsia" w:ascii="仿宋_GB2312" w:hAnsi="Times New Roman" w:eastAsia="仿宋_GB2312" w:cs="Times New Roman"/>
          <w:kern w:val="0"/>
          <w:sz w:val="36"/>
          <w:szCs w:val="36"/>
          <w:highlight w:val="none"/>
          <w:lang w:eastAsia="zh-CN"/>
        </w:rPr>
        <w:t>“以下”“不低于”均</w:t>
      </w:r>
      <w:r>
        <w:rPr>
          <w:rFonts w:hint="eastAsia" w:ascii="仿宋_GB2312" w:hAnsi="Times New Roman" w:eastAsia="仿宋_GB2312" w:cs="Times New Roman"/>
          <w:kern w:val="0"/>
          <w:sz w:val="36"/>
          <w:szCs w:val="36"/>
          <w:highlight w:val="none"/>
        </w:rPr>
        <w:t>含本数。</w:t>
      </w:r>
    </w:p>
    <w:p>
      <w:pPr>
        <w:pStyle w:val="4"/>
        <w:widowControl/>
        <w:numPr>
          <w:ilvl w:val="0"/>
          <w:numId w:val="0"/>
        </w:numPr>
        <w:shd w:val="clear" w:color="auto" w:fill="FEFEFE"/>
        <w:adjustRightInd w:val="0"/>
        <w:snapToGrid w:val="0"/>
        <w:spacing w:beforeLines="0" w:afterLines="0" w:line="600" w:lineRule="exact"/>
        <w:ind w:right="119" w:firstLine="641" w:firstLineChars="0"/>
        <w:rPr>
          <w:rFonts w:hint="eastAsia" w:ascii="仿宋_GB2312" w:hAnsi="仿宋_GB2312" w:eastAsia="仿宋_GB2312" w:cs="仿宋_GB2312"/>
          <w:sz w:val="36"/>
          <w:szCs w:val="36"/>
          <w:highlight w:val="cyan"/>
          <w:lang w:val="en-GB"/>
        </w:rPr>
      </w:pPr>
      <w:r>
        <w:rPr>
          <w:rFonts w:hint="eastAsia" w:ascii="仿宋_GB2312" w:hAnsi="仿宋_GB2312" w:eastAsia="仿宋_GB2312" w:cs="仿宋_GB2312"/>
          <w:sz w:val="36"/>
          <w:szCs w:val="36"/>
          <w:highlight w:val="none"/>
          <w:lang w:val="en-GB" w:eastAsia="zh-CN"/>
        </w:rPr>
        <w:t>第五十条</w:t>
      </w:r>
      <w:r>
        <w:rPr>
          <w:rFonts w:hint="eastAsia" w:ascii="仿宋_GB2312" w:hAnsi="微软雅黑" w:eastAsia="仿宋_GB2312" w:cs="宋体"/>
          <w:kern w:val="0"/>
          <w:sz w:val="36"/>
          <w:szCs w:val="36"/>
          <w:highlight w:val="none"/>
          <w:lang w:val="en-US" w:eastAsia="zh-CN" w:bidi="ar-SA"/>
        </w:rPr>
        <w:t xml:space="preserve">【解释主体】 </w:t>
      </w:r>
      <w:r>
        <w:rPr>
          <w:rFonts w:hint="eastAsia" w:ascii="仿宋_GB2312" w:hAnsi="微软雅黑" w:eastAsia="仿宋_GB2312" w:cs="宋体"/>
          <w:kern w:val="0"/>
          <w:sz w:val="36"/>
          <w:szCs w:val="36"/>
          <w:highlight w:val="none"/>
        </w:rPr>
        <w:t>本办法由国家金融监督管理总局负责解释和修订。</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lang w:val="en-US" w:eastAsia="zh-CN" w:bidi="ar-SA"/>
        </w:rPr>
        <w:t xml:space="preserve">第五十一条【实施日期】 </w:t>
      </w:r>
      <w:r>
        <w:rPr>
          <w:rFonts w:hint="eastAsia" w:ascii="仿宋_GB2312" w:hAnsi="微软雅黑" w:eastAsia="仿宋_GB2312" w:cs="宋体"/>
          <w:kern w:val="0"/>
          <w:sz w:val="36"/>
          <w:szCs w:val="36"/>
          <w:highlight w:val="none"/>
        </w:rPr>
        <w:t>本办法自</w:t>
      </w:r>
      <w:r>
        <w:rPr>
          <w:rFonts w:hint="eastAsia" w:ascii="仿宋_GB2312" w:hAnsi="微软雅黑" w:eastAsia="仿宋_GB2312" w:cs="宋体"/>
          <w:kern w:val="0"/>
          <w:sz w:val="36"/>
          <w:szCs w:val="36"/>
          <w:highlight w:val="none"/>
          <w:lang w:val="en-US" w:eastAsia="zh-CN"/>
        </w:rPr>
        <w:t>2026年7月1</w:t>
      </w:r>
      <w:r>
        <w:rPr>
          <w:rFonts w:hint="eastAsia" w:ascii="仿宋_GB2312" w:hAnsi="微软雅黑" w:eastAsia="仿宋_GB2312" w:cs="宋体"/>
          <w:kern w:val="0"/>
          <w:sz w:val="36"/>
          <w:szCs w:val="36"/>
          <w:highlight w:val="none"/>
        </w:rPr>
        <w:t>日起施行。《</w:t>
      </w:r>
      <w:r>
        <w:rPr>
          <w:rFonts w:hint="eastAsia" w:ascii="仿宋_GB2312" w:hAnsi="微软雅黑" w:eastAsia="仿宋_GB2312" w:cs="宋体"/>
          <w:kern w:val="0"/>
          <w:sz w:val="36"/>
          <w:szCs w:val="36"/>
          <w:highlight w:val="none"/>
          <w:lang w:eastAsia="zh-CN"/>
        </w:rPr>
        <w:t>中国银保监会关于印发</w:t>
      </w:r>
      <w:r>
        <w:rPr>
          <w:rFonts w:hint="eastAsia" w:ascii="仿宋_GB2312" w:hAnsi="微软雅黑" w:eastAsia="仿宋_GB2312" w:cs="宋体"/>
          <w:kern w:val="0"/>
          <w:sz w:val="36"/>
          <w:szCs w:val="36"/>
          <w:highlight w:val="none"/>
          <w:lang w:val="en-US" w:eastAsia="zh-CN"/>
        </w:rPr>
        <w:t>&lt;</w:t>
      </w:r>
      <w:r>
        <w:rPr>
          <w:rFonts w:hint="eastAsia" w:ascii="仿宋_GB2312" w:hAnsi="微软雅黑" w:eastAsia="仿宋_GB2312" w:cs="宋体"/>
          <w:kern w:val="0"/>
          <w:sz w:val="36"/>
          <w:szCs w:val="36"/>
          <w:highlight w:val="none"/>
        </w:rPr>
        <w:t>保险资产负债管理监管暂行办法</w:t>
      </w:r>
      <w:r>
        <w:rPr>
          <w:rFonts w:hint="eastAsia" w:ascii="仿宋_GB2312" w:hAnsi="微软雅黑" w:eastAsia="仿宋_GB2312" w:cs="宋体"/>
          <w:kern w:val="0"/>
          <w:sz w:val="36"/>
          <w:szCs w:val="36"/>
          <w:highlight w:val="none"/>
          <w:lang w:val="en-US" w:eastAsia="zh-CN"/>
        </w:rPr>
        <w:t>&gt;的通知</w:t>
      </w:r>
      <w:r>
        <w:rPr>
          <w:rFonts w:hint="eastAsia" w:ascii="仿宋_GB2312" w:hAnsi="微软雅黑" w:eastAsia="仿宋_GB2312" w:cs="宋体"/>
          <w:kern w:val="0"/>
          <w:sz w:val="36"/>
          <w:szCs w:val="36"/>
          <w:highlight w:val="none"/>
        </w:rPr>
        <w:t>》</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rPr>
        <w:t>银保监发〔2019〕32号</w:t>
      </w:r>
      <w:r>
        <w:rPr>
          <w:rFonts w:hint="eastAsia" w:ascii="仿宋_GB2312" w:hAnsi="微软雅黑" w:eastAsia="仿宋_GB2312" w:cs="宋体"/>
          <w:kern w:val="0"/>
          <w:sz w:val="36"/>
          <w:szCs w:val="36"/>
          <w:highlight w:val="none"/>
          <w:lang w:eastAsia="zh-CN"/>
        </w:rPr>
        <w:t>）、</w:t>
      </w:r>
      <w:r>
        <w:rPr>
          <w:rFonts w:hint="eastAsia" w:ascii="仿宋_GB2312" w:hAnsi="微软雅黑" w:eastAsia="仿宋_GB2312" w:cs="宋体"/>
          <w:kern w:val="0"/>
          <w:sz w:val="36"/>
          <w:szCs w:val="36"/>
          <w:highlight w:val="none"/>
          <w:lang w:val="en-US" w:eastAsia="zh-CN" w:bidi="ar-SA"/>
        </w:rPr>
        <w:t>《中国保监会关于印发&lt;保险资产负债管理监管规则 （1－</w:t>
      </w:r>
      <w:r>
        <w:rPr>
          <w:rFonts w:hint="default" w:ascii="仿宋_GB2312" w:hAnsi="微软雅黑" w:eastAsia="仿宋_GB2312" w:cs="宋体"/>
          <w:kern w:val="0"/>
          <w:sz w:val="36"/>
          <w:szCs w:val="36"/>
          <w:highlight w:val="none"/>
          <w:lang w:val="en-US" w:eastAsia="zh-CN" w:bidi="ar-SA"/>
        </w:rPr>
        <w:t xml:space="preserve">5 </w:t>
      </w:r>
      <w:r>
        <w:rPr>
          <w:rFonts w:hint="eastAsia" w:ascii="仿宋_GB2312" w:hAnsi="微软雅黑" w:eastAsia="仿宋_GB2312" w:cs="宋体"/>
          <w:kern w:val="0"/>
          <w:sz w:val="36"/>
          <w:szCs w:val="36"/>
          <w:highlight w:val="none"/>
          <w:lang w:val="en-US" w:eastAsia="zh-CN" w:bidi="ar-SA"/>
        </w:rPr>
        <w:t>号）&gt;及开展试运行有关事项的通知》（保监发〔</w:t>
      </w:r>
      <w:r>
        <w:rPr>
          <w:rFonts w:hint="default" w:ascii="仿宋_GB2312" w:hAnsi="微软雅黑" w:eastAsia="仿宋_GB2312" w:cs="宋体"/>
          <w:kern w:val="0"/>
          <w:sz w:val="36"/>
          <w:szCs w:val="36"/>
          <w:highlight w:val="none"/>
          <w:lang w:val="en-US" w:eastAsia="zh-CN" w:bidi="ar-SA"/>
        </w:rPr>
        <w:t>2018</w:t>
      </w:r>
      <w:r>
        <w:rPr>
          <w:rFonts w:hint="eastAsia" w:ascii="仿宋_GB2312" w:hAnsi="微软雅黑" w:eastAsia="仿宋_GB2312" w:cs="宋体"/>
          <w:kern w:val="0"/>
          <w:sz w:val="36"/>
          <w:szCs w:val="36"/>
          <w:highlight w:val="none"/>
          <w:lang w:val="en-US" w:eastAsia="zh-CN" w:bidi="ar-SA"/>
        </w:rPr>
        <w:t>〕</w:t>
      </w:r>
      <w:r>
        <w:rPr>
          <w:rFonts w:hint="default" w:ascii="仿宋_GB2312" w:hAnsi="微软雅黑" w:eastAsia="仿宋_GB2312" w:cs="宋体"/>
          <w:kern w:val="0"/>
          <w:sz w:val="36"/>
          <w:szCs w:val="36"/>
          <w:highlight w:val="none"/>
          <w:lang w:val="en-US" w:eastAsia="zh-CN" w:bidi="ar-SA"/>
        </w:rPr>
        <w:t>27</w:t>
      </w:r>
      <w:r>
        <w:rPr>
          <w:rFonts w:hint="eastAsia" w:ascii="仿宋_GB2312" w:hAnsi="微软雅黑" w:eastAsia="仿宋_GB2312" w:cs="宋体"/>
          <w:kern w:val="0"/>
          <w:sz w:val="36"/>
          <w:szCs w:val="36"/>
          <w:highlight w:val="none"/>
          <w:lang w:val="en-US" w:eastAsia="zh-CN" w:bidi="ar-SA"/>
        </w:rPr>
        <w:t>号）</w:t>
      </w:r>
      <w:r>
        <w:rPr>
          <w:rFonts w:hint="eastAsia" w:ascii="仿宋_GB2312" w:hAnsi="微软雅黑" w:eastAsia="仿宋_GB2312" w:cs="宋体"/>
          <w:kern w:val="0"/>
          <w:sz w:val="36"/>
          <w:szCs w:val="36"/>
          <w:highlight w:val="none"/>
        </w:rPr>
        <w:t>同时废止。</w:t>
      </w:r>
    </w:p>
    <w:p>
      <w:pPr>
        <w:pStyle w:val="4"/>
        <w:widowControl/>
        <w:numPr>
          <w:ilvl w:val="0"/>
          <w:numId w:val="0"/>
        </w:numPr>
        <w:shd w:val="clear" w:color="auto" w:fill="FEFEFE"/>
        <w:adjustRightInd w:val="0"/>
        <w:snapToGrid w:val="0"/>
        <w:spacing w:beforeLines="0" w:afterLines="0" w:line="600" w:lineRule="exact"/>
        <w:ind w:left="0" w:right="119" w:firstLine="641" w:firstLineChars="0"/>
        <w:rPr>
          <w:rFonts w:hint="eastAsia" w:ascii="仿宋_GB2312" w:hAnsi="微软雅黑" w:eastAsia="仿宋_GB2312" w:cs="宋体"/>
          <w:kern w:val="0"/>
          <w:sz w:val="36"/>
          <w:szCs w:val="36"/>
          <w:highlight w:val="none"/>
        </w:rPr>
      </w:pPr>
    </w:p>
    <w:p>
      <w:pPr>
        <w:widowControl/>
        <w:shd w:val="clear" w:color="auto" w:fill="FEFEFE"/>
        <w:snapToGrid w:val="0"/>
        <w:spacing w:beforeLines="0" w:afterLines="0" w:line="600" w:lineRule="exact"/>
        <w:ind w:right="120" w:firstLine="640"/>
        <w:rPr>
          <w:rFonts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附件</w:t>
      </w:r>
      <w:r>
        <w:rPr>
          <w:rFonts w:ascii="仿宋_GB2312" w:hAnsi="微软雅黑" w:eastAsia="仿宋_GB2312" w:cs="宋体"/>
          <w:kern w:val="0"/>
          <w:sz w:val="36"/>
          <w:szCs w:val="36"/>
          <w:highlight w:val="none"/>
        </w:rPr>
        <w:t xml:space="preserve">1 </w:t>
      </w:r>
      <w:r>
        <w:rPr>
          <w:rFonts w:hint="eastAsia" w:ascii="仿宋_GB2312" w:hAnsi="微软雅黑" w:eastAsia="仿宋_GB2312" w:cs="宋体"/>
          <w:kern w:val="0"/>
          <w:sz w:val="36"/>
          <w:szCs w:val="36"/>
          <w:highlight w:val="none"/>
        </w:rPr>
        <w:t>财产保险公司资产负债管理监管指标和监测指标</w:t>
      </w:r>
    </w:p>
    <w:p>
      <w:pPr>
        <w:widowControl/>
        <w:shd w:val="clear" w:color="auto" w:fill="FEFEFE"/>
        <w:snapToGrid w:val="0"/>
        <w:spacing w:beforeLines="0" w:afterLines="0" w:line="600" w:lineRule="exact"/>
        <w:ind w:right="120" w:firstLine="640"/>
        <w:rPr>
          <w:rFonts w:hint="eastAsia" w:ascii="仿宋_GB2312" w:hAnsi="微软雅黑" w:eastAsia="仿宋_GB2312" w:cs="宋体"/>
          <w:kern w:val="0"/>
          <w:sz w:val="36"/>
          <w:szCs w:val="36"/>
          <w:highlight w:val="none"/>
        </w:rPr>
      </w:pPr>
      <w:r>
        <w:rPr>
          <w:rFonts w:hint="eastAsia" w:ascii="仿宋_GB2312" w:hAnsi="微软雅黑" w:eastAsia="仿宋_GB2312" w:cs="宋体"/>
          <w:kern w:val="0"/>
          <w:sz w:val="36"/>
          <w:szCs w:val="36"/>
          <w:highlight w:val="none"/>
        </w:rPr>
        <w:t>附件</w:t>
      </w:r>
      <w:r>
        <w:rPr>
          <w:rFonts w:ascii="仿宋_GB2312" w:hAnsi="微软雅黑" w:eastAsia="仿宋_GB2312" w:cs="宋体"/>
          <w:kern w:val="0"/>
          <w:sz w:val="36"/>
          <w:szCs w:val="36"/>
          <w:highlight w:val="none"/>
        </w:rPr>
        <w:t xml:space="preserve">2 </w:t>
      </w:r>
      <w:r>
        <w:rPr>
          <w:rFonts w:hint="eastAsia" w:ascii="仿宋_GB2312" w:hAnsi="微软雅黑" w:eastAsia="仿宋_GB2312" w:cs="宋体"/>
          <w:kern w:val="0"/>
          <w:sz w:val="36"/>
          <w:szCs w:val="36"/>
          <w:highlight w:val="none"/>
        </w:rPr>
        <w:t>人身保险公司资产负债管理监管指标和监测指标</w:t>
      </w:r>
    </w:p>
    <w:p>
      <w:pPr>
        <w:widowControl/>
        <w:shd w:val="clear" w:color="auto" w:fill="FEFEFE"/>
        <w:spacing w:beforeLines="0" w:afterLines="0" w:line="560" w:lineRule="exact"/>
        <w:ind w:right="120" w:firstLine="640"/>
        <w:rPr>
          <w:rFonts w:hint="eastAsia" w:ascii="仿宋_GB2312" w:hAnsi="微软雅黑" w:eastAsia="仿宋_GB2312" w:cs="宋体"/>
          <w:kern w:val="0"/>
          <w:sz w:val="36"/>
          <w:szCs w:val="36"/>
          <w:highlight w:val="none"/>
        </w:rPr>
      </w:pPr>
    </w:p>
    <w:p>
      <w:pPr>
        <w:widowControl/>
        <w:shd w:val="clear" w:color="auto" w:fill="FEFEFE"/>
        <w:spacing w:beforeLines="0" w:afterLines="0" w:line="560" w:lineRule="exact"/>
        <w:ind w:right="120" w:firstLine="640"/>
        <w:rPr>
          <w:rFonts w:hint="eastAsia" w:ascii="仿宋_GB2312" w:hAnsi="微软雅黑" w:eastAsia="仿宋_GB2312" w:cs="宋体"/>
          <w:kern w:val="0"/>
          <w:sz w:val="36"/>
          <w:szCs w:val="36"/>
          <w:highlight w:val="none"/>
        </w:rPr>
      </w:pPr>
    </w:p>
    <w:p>
      <w:pPr>
        <w:widowControl/>
        <w:shd w:val="clear" w:color="auto" w:fill="FEFEFE"/>
        <w:spacing w:beforeLines="0" w:afterLines="0" w:line="560" w:lineRule="exact"/>
        <w:ind w:right="120" w:firstLine="640"/>
        <w:rPr>
          <w:rFonts w:hint="eastAsia" w:ascii="仿宋_GB2312" w:hAnsi="微软雅黑" w:eastAsia="仿宋_GB2312" w:cs="宋体"/>
          <w:kern w:val="0"/>
          <w:sz w:val="36"/>
          <w:szCs w:val="36"/>
          <w:highlight w:val="none"/>
        </w:rPr>
      </w:pPr>
    </w:p>
    <w:p>
      <w:pPr>
        <w:widowControl/>
        <w:shd w:val="clear" w:color="auto" w:fill="FEFEFE"/>
        <w:spacing w:beforeLines="0" w:afterLines="0" w:line="560" w:lineRule="exact"/>
        <w:ind w:right="120" w:firstLine="640"/>
        <w:rPr>
          <w:rFonts w:hint="eastAsia" w:ascii="仿宋_GB2312" w:hAnsi="微软雅黑" w:eastAsia="仿宋_GB2312" w:cs="宋体"/>
          <w:kern w:val="0"/>
          <w:sz w:val="36"/>
          <w:szCs w:val="36"/>
          <w:highlight w:val="none"/>
        </w:rPr>
      </w:pPr>
    </w:p>
    <w:p>
      <w:pPr>
        <w:widowControl/>
        <w:shd w:val="clear" w:color="auto" w:fill="FEFEFE"/>
        <w:spacing w:beforeLines="0" w:afterLines="0" w:line="560" w:lineRule="exact"/>
        <w:ind w:right="120" w:firstLine="640"/>
        <w:rPr>
          <w:rFonts w:hint="eastAsia" w:ascii="仿宋_GB2312" w:hAnsi="微软雅黑" w:eastAsia="仿宋_GB2312" w:cs="宋体"/>
          <w:kern w:val="0"/>
          <w:sz w:val="36"/>
          <w:szCs w:val="36"/>
          <w:highlight w:val="none"/>
        </w:rPr>
      </w:pPr>
    </w:p>
    <w:p>
      <w:pPr>
        <w:widowControl/>
        <w:shd w:val="clear" w:color="auto" w:fill="FEFEFE"/>
        <w:spacing w:beforeLines="0" w:afterLines="0" w:line="560" w:lineRule="exact"/>
        <w:ind w:right="120" w:firstLine="640"/>
        <w:rPr>
          <w:rFonts w:hint="eastAsia" w:ascii="仿宋_GB2312" w:hAnsi="微软雅黑" w:eastAsia="仿宋_GB2312" w:cs="宋体"/>
          <w:kern w:val="0"/>
          <w:sz w:val="36"/>
          <w:szCs w:val="36"/>
          <w:highlight w:val="none"/>
        </w:rPr>
      </w:pPr>
    </w:p>
    <w:p>
      <w:pPr>
        <w:widowControl/>
        <w:shd w:val="clear" w:color="auto" w:fill="FEFEFE"/>
        <w:spacing w:beforeLines="0" w:afterLines="0" w:line="560" w:lineRule="exact"/>
        <w:ind w:right="120" w:firstLine="640"/>
        <w:rPr>
          <w:rFonts w:hint="eastAsia" w:ascii="仿宋_GB2312" w:hAnsi="微软雅黑" w:eastAsia="仿宋_GB2312" w:cs="宋体"/>
          <w:kern w:val="0"/>
          <w:sz w:val="36"/>
          <w:szCs w:val="36"/>
          <w:highlight w:val="none"/>
        </w:rPr>
      </w:pPr>
    </w:p>
    <w:p>
      <w:pPr>
        <w:widowControl/>
        <w:shd w:val="clear" w:color="auto" w:fill="FEFEFE"/>
        <w:spacing w:beforeLines="0" w:afterLines="0" w:line="560" w:lineRule="exact"/>
        <w:ind w:right="120" w:firstLine="640"/>
        <w:rPr>
          <w:rFonts w:hint="eastAsia" w:ascii="仿宋_GB2312" w:hAnsi="微软雅黑" w:eastAsia="仿宋_GB2312" w:cs="宋体"/>
          <w:kern w:val="0"/>
          <w:sz w:val="36"/>
          <w:szCs w:val="36"/>
          <w:highlight w:val="none"/>
        </w:rPr>
      </w:pPr>
    </w:p>
    <w:p>
      <w:pPr>
        <w:pStyle w:val="2"/>
        <w:spacing w:before="0" w:beforeLines="0" w:after="0" w:afterLines="0" w:line="560" w:lineRule="exact"/>
        <w:ind w:firstLine="0" w:firstLineChars="0"/>
        <w:jc w:val="left"/>
        <w:rPr>
          <w:rFonts w:ascii="仿宋_GB2312" w:eastAsia="仿宋_GB2312"/>
          <w:b/>
          <w:bCs/>
          <w:highlight w:val="none"/>
        </w:rPr>
      </w:pPr>
      <w:r>
        <w:rPr>
          <w:rFonts w:hint="eastAsia" w:ascii="仿宋_GB2312" w:eastAsia="仿宋_GB2312"/>
          <w:b/>
          <w:bCs/>
          <w:highlight w:val="none"/>
        </w:rPr>
        <w:t>附件1.财产保险公司资产负债管理监管指标和监测指标</w:t>
      </w:r>
    </w:p>
    <w:p>
      <w:pPr>
        <w:pStyle w:val="4"/>
        <w:widowControl/>
        <w:adjustRightInd w:val="0"/>
        <w:spacing w:beforeLines="0" w:afterLines="0" w:line="560" w:lineRule="exact"/>
        <w:ind w:left="640" w:firstLine="0" w:firstLineChars="0"/>
        <w:contextualSpacing/>
        <w:outlineLvl w:val="1"/>
        <w:rPr>
          <w:rFonts w:ascii="黑体" w:hAnsi="黑体" w:eastAsia="黑体" w:cs="黑体"/>
          <w:bCs/>
          <w:sz w:val="32"/>
          <w:szCs w:val="32"/>
          <w:highlight w:val="none"/>
        </w:rPr>
      </w:pPr>
      <w:r>
        <w:rPr>
          <w:rFonts w:hint="eastAsia" w:ascii="黑体" w:hAnsi="黑体" w:eastAsia="黑体" w:cs="黑体"/>
          <w:bCs/>
          <w:sz w:val="32"/>
          <w:szCs w:val="32"/>
          <w:highlight w:val="none"/>
        </w:rPr>
        <w:t>一、监管指标</w:t>
      </w:r>
    </w:p>
    <w:p>
      <w:pPr>
        <w:widowControl/>
        <w:numPr>
          <w:ilvl w:val="255"/>
          <w:numId w:val="0"/>
        </w:numPr>
        <w:adjustRightInd w:val="0"/>
        <w:spacing w:beforeLines="0" w:afterLines="0" w:line="560" w:lineRule="exact"/>
        <w:ind w:firstLine="643" w:firstLineChars="200"/>
        <w:contextualSpacing/>
        <w:outlineLvl w:val="2"/>
        <w:rPr>
          <w:rFonts w:ascii="仿宋_GB2312" w:hAnsi="仿宋" w:eastAsia="仿宋_GB2312" w:cs="MS Mincho"/>
          <w:b/>
          <w:bCs/>
          <w:sz w:val="32"/>
          <w:szCs w:val="32"/>
          <w:highlight w:val="none"/>
          <w:lang w:val="en-GB"/>
        </w:rPr>
      </w:pPr>
      <w:r>
        <w:rPr>
          <w:rFonts w:hint="eastAsia" w:ascii="仿宋_GB2312" w:hAnsi="仿宋" w:eastAsia="仿宋_GB2312" w:cs="MS Mincho"/>
          <w:b/>
          <w:bCs/>
          <w:sz w:val="32"/>
          <w:szCs w:val="32"/>
          <w:highlight w:val="none"/>
          <w:lang w:val="en-GB" w:eastAsia="zh-CN"/>
        </w:rPr>
        <w:t>（</w:t>
      </w:r>
      <w:r>
        <w:rPr>
          <w:rFonts w:hint="eastAsia" w:ascii="仿宋_GB2312" w:hAnsi="仿宋" w:eastAsia="仿宋_GB2312" w:cs="MS Mincho"/>
          <w:b/>
          <w:bCs/>
          <w:sz w:val="32"/>
          <w:szCs w:val="32"/>
          <w:highlight w:val="none"/>
          <w:lang w:val="en-GB"/>
        </w:rPr>
        <w:t>一</w:t>
      </w:r>
      <w:r>
        <w:rPr>
          <w:rFonts w:hint="eastAsia" w:ascii="仿宋_GB2312" w:hAnsi="仿宋" w:eastAsia="仿宋_GB2312" w:cs="MS Mincho"/>
          <w:b/>
          <w:bCs/>
          <w:sz w:val="32"/>
          <w:szCs w:val="32"/>
          <w:highlight w:val="none"/>
          <w:lang w:val="en-GB" w:eastAsia="zh-CN"/>
        </w:rPr>
        <w:t>）</w:t>
      </w:r>
      <w:r>
        <w:rPr>
          <w:rFonts w:hint="eastAsia" w:ascii="仿宋_GB2312" w:hAnsi="仿宋" w:eastAsia="仿宋_GB2312" w:cs="MS Mincho"/>
          <w:b/>
          <w:bCs/>
          <w:sz w:val="32"/>
          <w:szCs w:val="32"/>
          <w:highlight w:val="none"/>
          <w:lang w:val="en-GB"/>
        </w:rPr>
        <w:t>沉淀资金缺口率</w:t>
      </w:r>
    </w:p>
    <w:p>
      <w:pPr>
        <w:widowControl/>
        <w:numPr>
          <w:ilvl w:val="255"/>
          <w:numId w:val="0"/>
        </w:numPr>
        <w:adjustRightInd w:val="0"/>
        <w:spacing w:beforeLines="0" w:afterLines="0" w:line="560" w:lineRule="exact"/>
        <w:ind w:firstLine="640" w:firstLineChars="200"/>
        <w:contextualSpacing/>
        <w:outlineLvl w:val="2"/>
        <w:rPr>
          <w:rFonts w:ascii="仿宋" w:hAnsi="仿宋" w:eastAsia="仿宋_GB2312" w:cs="Arial"/>
          <w:sz w:val="32"/>
          <w:szCs w:val="32"/>
          <w:highlight w:val="none"/>
        </w:rPr>
      </w:pPr>
      <w:r>
        <w:rPr>
          <w:rFonts w:hint="eastAsia" w:ascii="仿宋_GB2312" w:hAnsi="Times New Roman" w:eastAsia="仿宋_GB2312" w:cs="Times New Roman"/>
          <w:sz w:val="32"/>
          <w:szCs w:val="32"/>
          <w:highlight w:val="none"/>
        </w:rPr>
        <w:t>衡量财产保险公司中长期资产与沉淀资金的规模匹配情况，</w:t>
      </w:r>
      <w:r>
        <w:rPr>
          <w:rFonts w:ascii="仿宋" w:hAnsi="仿宋" w:eastAsia="仿宋_GB2312" w:cs="Arial"/>
          <w:sz w:val="32"/>
          <w:szCs w:val="32"/>
          <w:highlight w:val="none"/>
        </w:rPr>
        <w:t>旨在引导</w:t>
      </w:r>
      <w:r>
        <w:rPr>
          <w:rFonts w:hint="eastAsia" w:ascii="仿宋" w:hAnsi="仿宋" w:eastAsia="仿宋_GB2312" w:cs="Arial"/>
          <w:sz w:val="32"/>
          <w:szCs w:val="32"/>
          <w:highlight w:val="none"/>
        </w:rPr>
        <w:t>公司</w:t>
      </w:r>
      <w:r>
        <w:rPr>
          <w:rFonts w:ascii="仿宋" w:hAnsi="仿宋" w:eastAsia="仿宋_GB2312" w:cs="Arial"/>
          <w:sz w:val="32"/>
          <w:szCs w:val="32"/>
          <w:highlight w:val="none"/>
        </w:rPr>
        <w:t>合理</w:t>
      </w:r>
      <w:r>
        <w:rPr>
          <w:rFonts w:hint="eastAsia" w:ascii="仿宋" w:hAnsi="仿宋" w:eastAsia="仿宋_GB2312" w:cs="Arial"/>
          <w:sz w:val="32"/>
          <w:szCs w:val="32"/>
          <w:highlight w:val="none"/>
        </w:rPr>
        <w:t>配置长期资产</w:t>
      </w:r>
      <w:r>
        <w:rPr>
          <w:rFonts w:ascii="仿宋" w:hAnsi="仿宋" w:eastAsia="仿宋_GB2312" w:cs="Arial"/>
          <w:sz w:val="32"/>
          <w:szCs w:val="32"/>
          <w:highlight w:val="none"/>
        </w:rPr>
        <w:t>，避免过度依赖</w:t>
      </w:r>
      <w:r>
        <w:rPr>
          <w:rFonts w:hint="eastAsia" w:ascii="仿宋" w:hAnsi="仿宋" w:eastAsia="仿宋_GB2312" w:cs="Arial"/>
          <w:sz w:val="32"/>
          <w:szCs w:val="32"/>
          <w:highlight w:val="none"/>
        </w:rPr>
        <w:t>期限较</w:t>
      </w:r>
      <w:r>
        <w:rPr>
          <w:rFonts w:ascii="仿宋" w:hAnsi="仿宋" w:eastAsia="仿宋_GB2312" w:cs="Arial"/>
          <w:sz w:val="32"/>
          <w:szCs w:val="32"/>
          <w:highlight w:val="none"/>
        </w:rPr>
        <w:t>短</w:t>
      </w:r>
      <w:r>
        <w:rPr>
          <w:rFonts w:hint="eastAsia" w:ascii="仿宋" w:hAnsi="仿宋" w:eastAsia="仿宋_GB2312" w:cs="Arial"/>
          <w:sz w:val="32"/>
          <w:szCs w:val="32"/>
          <w:highlight w:val="none"/>
        </w:rPr>
        <w:t>的</w:t>
      </w:r>
      <w:r>
        <w:rPr>
          <w:rFonts w:ascii="仿宋" w:hAnsi="仿宋" w:eastAsia="仿宋_GB2312" w:cs="Arial"/>
          <w:sz w:val="32"/>
          <w:szCs w:val="32"/>
          <w:highlight w:val="none"/>
        </w:rPr>
        <w:t>资金</w:t>
      </w:r>
      <w:r>
        <w:rPr>
          <w:rFonts w:hint="eastAsia" w:ascii="仿宋" w:hAnsi="仿宋" w:eastAsia="仿宋_GB2312" w:cs="Arial"/>
          <w:sz w:val="32"/>
          <w:szCs w:val="32"/>
          <w:highlight w:val="none"/>
        </w:rPr>
        <w:t>进行长期投资</w:t>
      </w:r>
      <w:r>
        <w:rPr>
          <w:rFonts w:ascii="仿宋" w:hAnsi="仿宋" w:eastAsia="仿宋_GB2312" w:cs="Arial"/>
          <w:sz w:val="32"/>
          <w:szCs w:val="32"/>
          <w:highlight w:val="none"/>
        </w:rPr>
        <w:t>，提高风险抵御能力。</w:t>
      </w:r>
    </w:p>
    <w:p>
      <w:pPr>
        <w:pStyle w:val="4"/>
        <w:widowControl/>
        <w:numPr>
          <w:ilvl w:val="255"/>
          <w:numId w:val="0"/>
        </w:numPr>
        <w:adjustRightInd w:val="0"/>
        <w:spacing w:beforeLines="0" w:afterLines="0" w:line="560" w:lineRule="exact"/>
        <w:ind w:firstLine="640" w:firstLineChars="200"/>
        <w:contextualSpacing/>
        <w:outlineLvl w:val="2"/>
        <w:rPr>
          <w:rFonts w:hint="eastAsia" w:ascii="仿宋_GB2312" w:hAnsi="仿宋" w:eastAsia="仿宋_GB2312"/>
          <w:sz w:val="32"/>
          <w:szCs w:val="32"/>
          <w:highlight w:val="none"/>
        </w:rPr>
      </w:pPr>
      <w:r>
        <w:rPr>
          <w:rFonts w:hint="eastAsia" w:ascii="仿宋_GB2312" w:hAnsi="仿宋_GB2312" w:eastAsia="仿宋_GB2312" w:cs="仿宋_GB2312"/>
          <w:szCs w:val="32"/>
          <w:highlight w:val="none"/>
          <w:lang w:val="en-GB" w:eastAsia="zh-CN"/>
        </w:rPr>
        <w:t>沉淀资金覆盖率=沉淀资金</w:t>
      </w:r>
      <w:r>
        <w:rPr>
          <w:rFonts w:hint="eastAsia" w:ascii="仿宋_GB2312" w:hAnsi="仿宋_GB2312" w:eastAsia="仿宋_GB2312" w:cs="仿宋_GB2312"/>
          <w:kern w:val="2"/>
          <w:sz w:val="32"/>
          <w:szCs w:val="32"/>
          <w:highlight w:val="none"/>
          <w:lang w:val="en-GB"/>
        </w:rPr>
        <w:t>÷</w:t>
      </w:r>
      <w:r>
        <w:rPr>
          <w:rFonts w:hint="eastAsia" w:ascii="仿宋_GB2312" w:hAnsi="仿宋_GB2312" w:eastAsia="仿宋_GB2312" w:cs="仿宋_GB2312"/>
          <w:kern w:val="2"/>
          <w:sz w:val="32"/>
          <w:szCs w:val="32"/>
          <w:highlight w:val="none"/>
          <w:lang w:val="en-GB" w:eastAsia="zh-CN"/>
        </w:rPr>
        <w:t>中长期资产</w:t>
      </w:r>
    </w:p>
    <w:p>
      <w:pPr>
        <w:pStyle w:val="4"/>
        <w:widowControl/>
        <w:numPr>
          <w:ilvl w:val="255"/>
          <w:numId w:val="0"/>
        </w:numPr>
        <w:adjustRightInd w:val="0"/>
        <w:spacing w:beforeLines="0" w:afterLines="0" w:line="560" w:lineRule="exact"/>
        <w:ind w:firstLine="640" w:firstLineChars="200"/>
        <w:contextualSpacing/>
        <w:outlineLvl w:val="2"/>
        <w:rPr>
          <w:rFonts w:hint="eastAsia" w:ascii="仿宋_GB2312" w:hAnsi="仿宋" w:eastAsia="仿宋_GB2312" w:cs="MS Mincho"/>
          <w:sz w:val="32"/>
          <w:szCs w:val="32"/>
          <w:highlight w:val="none"/>
          <w:lang w:val="en-GB" w:eastAsia="zh-CN"/>
        </w:rPr>
      </w:pPr>
      <w:r>
        <w:rPr>
          <w:rFonts w:hint="eastAsia" w:ascii="仿宋_GB2312" w:hAnsi="仿宋" w:eastAsia="仿宋_GB2312" w:cs="MS Mincho"/>
          <w:sz w:val="32"/>
          <w:szCs w:val="32"/>
          <w:highlight w:val="none"/>
          <w:lang w:val="en-GB" w:eastAsia="zh-CN"/>
        </w:rPr>
        <w:t>其中，</w:t>
      </w:r>
      <w:r>
        <w:rPr>
          <w:rFonts w:hint="eastAsia" w:ascii="仿宋_GB2312" w:hAnsi="仿宋" w:eastAsia="仿宋_GB2312" w:cs="MS Mincho"/>
          <w:sz w:val="32"/>
          <w:szCs w:val="32"/>
          <w:highlight w:val="none"/>
          <w:lang w:val="en-GB"/>
        </w:rPr>
        <w:t>沉淀资金是基于财产保险产品滚动投保的特性，在账户日常资金流动过程中留存的、数量相对稳定的资金，可以用于进行中长期投资。</w:t>
      </w:r>
      <w:r>
        <w:rPr>
          <w:rFonts w:hint="eastAsia" w:ascii="仿宋_GB2312" w:hAnsi="仿宋" w:eastAsia="仿宋_GB2312" w:cs="MS Mincho"/>
          <w:sz w:val="32"/>
          <w:szCs w:val="32"/>
          <w:highlight w:val="none"/>
          <w:lang w:val="en-GB" w:eastAsia="zh-CN"/>
        </w:rPr>
        <w:t>沉淀资金的计算基于系数法和情景法，取两者较小值，具体方法另行制定。</w:t>
      </w:r>
    </w:p>
    <w:p>
      <w:pPr>
        <w:pStyle w:val="4"/>
        <w:widowControl/>
        <w:numPr>
          <w:ilvl w:val="255"/>
          <w:numId w:val="0"/>
        </w:numPr>
        <w:adjustRightInd w:val="0"/>
        <w:spacing w:beforeLines="0" w:afterLines="0" w:line="560" w:lineRule="exact"/>
        <w:ind w:firstLine="640" w:firstLineChars="200"/>
        <w:contextualSpacing/>
        <w:outlineLvl w:val="2"/>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中长期资产包括剩余期限三年期以上的存款、（准）政府债券、金融企业（公司）债券、非金融企业（公司）债券、政府支持性债券、国际金融组织债券、资产证券化产品、非标准固定收益类投资资产（不含无明确期限非标准固定收益类投资资产）、含保证条款的权益类投资资产；权益类投资资产中的未上市企业股权、不含保证条款的股权投资计划、股权投资基金，权益类集合资金信托计划、权益类专项产品、债转股投资计划、纳入长期股权投资的上市普通股票；投资性不动产、自用性不动产；黄金等大宗商品等。对于保险公司投资的单一资产管理计划和面向单一投资者发行的组合类保险资产管理产品、私募理财产品，应当按照穿透原则统计。</w:t>
      </w:r>
    </w:p>
    <w:p>
      <w:pPr>
        <w:widowControl/>
        <w:adjustRightInd w:val="0"/>
        <w:spacing w:beforeLines="0" w:afterLines="0" w:line="560" w:lineRule="exact"/>
        <w:ind w:firstLine="643" w:firstLineChars="200"/>
        <w:contextualSpacing/>
        <w:outlineLvl w:val="2"/>
        <w:rPr>
          <w:rFonts w:ascii="仿宋_GB2312" w:hAnsi="仿宋" w:eastAsia="仿宋_GB2312" w:cs="Arial"/>
          <w:b/>
          <w:bCs/>
          <w:sz w:val="32"/>
          <w:szCs w:val="32"/>
          <w:highlight w:val="none"/>
        </w:rPr>
      </w:pPr>
      <w:r>
        <w:rPr>
          <w:rFonts w:hint="eastAsia" w:ascii="仿宋_GB2312" w:hAnsi="仿宋" w:eastAsia="仿宋_GB2312" w:cs="Arial"/>
          <w:b/>
          <w:bCs/>
          <w:sz w:val="32"/>
          <w:szCs w:val="32"/>
          <w:highlight w:val="none"/>
          <w:lang w:eastAsia="zh-CN"/>
        </w:rPr>
        <w:t>（</w:t>
      </w:r>
      <w:r>
        <w:rPr>
          <w:rFonts w:hint="eastAsia" w:ascii="仿宋_GB2312" w:hAnsi="仿宋" w:eastAsia="仿宋_GB2312" w:cs="Arial"/>
          <w:b/>
          <w:bCs/>
          <w:sz w:val="32"/>
          <w:szCs w:val="32"/>
          <w:highlight w:val="none"/>
        </w:rPr>
        <w:t>二</w:t>
      </w:r>
      <w:r>
        <w:rPr>
          <w:rFonts w:hint="eastAsia" w:ascii="仿宋_GB2312" w:hAnsi="仿宋" w:eastAsia="仿宋_GB2312" w:cs="Arial"/>
          <w:b/>
          <w:bCs/>
          <w:sz w:val="32"/>
          <w:szCs w:val="32"/>
          <w:highlight w:val="none"/>
          <w:lang w:eastAsia="zh-CN"/>
        </w:rPr>
        <w:t>）收入覆盖</w:t>
      </w:r>
      <w:r>
        <w:rPr>
          <w:rFonts w:hint="eastAsia" w:ascii="仿宋_GB2312" w:hAnsi="仿宋" w:eastAsia="仿宋_GB2312" w:cs="Arial"/>
          <w:b/>
          <w:bCs/>
          <w:sz w:val="32"/>
          <w:szCs w:val="32"/>
          <w:highlight w:val="none"/>
        </w:rPr>
        <w:t>率</w:t>
      </w:r>
    </w:p>
    <w:p>
      <w:pPr>
        <w:widowControl/>
        <w:adjustRightInd w:val="0"/>
        <w:spacing w:beforeLines="0" w:afterLines="0" w:line="560" w:lineRule="exact"/>
        <w:ind w:firstLine="640" w:firstLineChars="200"/>
        <w:contextualSpacing/>
        <w:outlineLvl w:val="2"/>
        <w:rPr>
          <w:rFonts w:hint="eastAsia" w:ascii="仿宋_GB2312" w:hAnsi="仿宋" w:eastAsia="仿宋_GB2312" w:cs="MS Mincho"/>
          <w:sz w:val="32"/>
          <w:szCs w:val="32"/>
          <w:highlight w:val="none"/>
          <w:lang w:val="en-GB"/>
        </w:rPr>
      </w:pPr>
      <w:r>
        <w:rPr>
          <w:rFonts w:hint="eastAsia" w:ascii="仿宋_GB2312" w:hAnsi="仿宋" w:eastAsia="仿宋_GB2312" w:cs="Arial"/>
          <w:sz w:val="32"/>
          <w:szCs w:val="32"/>
          <w:highlight w:val="none"/>
        </w:rPr>
        <w:t>衡量财产保险公司在较长期间的</w:t>
      </w:r>
      <w:r>
        <w:rPr>
          <w:rFonts w:hint="eastAsia" w:ascii="仿宋_GB2312" w:hAnsi="Times New Roman" w:eastAsia="仿宋_GB2312" w:cs="Times New Roman"/>
          <w:sz w:val="32"/>
          <w:szCs w:val="32"/>
          <w:highlight w:val="none"/>
        </w:rPr>
        <w:t>整体</w:t>
      </w:r>
      <w:r>
        <w:rPr>
          <w:rFonts w:hint="eastAsia" w:ascii="仿宋_GB2312" w:hAnsi="Times New Roman" w:eastAsia="仿宋_GB2312" w:cs="Times New Roman"/>
          <w:sz w:val="32"/>
          <w:szCs w:val="32"/>
          <w:highlight w:val="none"/>
          <w:lang w:eastAsia="zh-CN"/>
        </w:rPr>
        <w:t>收入</w:t>
      </w:r>
      <w:r>
        <w:rPr>
          <w:rFonts w:hint="eastAsia" w:ascii="仿宋_GB2312" w:hAnsi="Times New Roman" w:eastAsia="仿宋_GB2312" w:cs="Times New Roman"/>
          <w:sz w:val="32"/>
          <w:szCs w:val="32"/>
          <w:highlight w:val="none"/>
        </w:rPr>
        <w:t>水平能否覆盖公司的整体业务成本，</w:t>
      </w:r>
      <w:r>
        <w:rPr>
          <w:rFonts w:hint="eastAsia" w:ascii="仿宋_GB2312" w:hAnsi="仿宋" w:eastAsia="仿宋_GB2312" w:cs="MS Mincho"/>
          <w:sz w:val="32"/>
          <w:szCs w:val="32"/>
          <w:highlight w:val="none"/>
          <w:lang w:val="en-GB"/>
        </w:rPr>
        <w:t>降低因短期市场波动</w:t>
      </w:r>
      <w:r>
        <w:rPr>
          <w:rFonts w:hint="eastAsia" w:ascii="仿宋_GB2312" w:hAnsi="仿宋" w:eastAsia="仿宋_GB2312" w:cs="MS Mincho"/>
          <w:sz w:val="32"/>
          <w:szCs w:val="32"/>
          <w:highlight w:val="none"/>
          <w:lang w:val="en-GB" w:eastAsia="zh-CN"/>
        </w:rPr>
        <w:t>带来的影响</w:t>
      </w:r>
      <w:r>
        <w:rPr>
          <w:rFonts w:hint="eastAsia" w:ascii="仿宋_GB2312" w:hAnsi="仿宋" w:eastAsia="仿宋_GB2312" w:cs="MS Mincho"/>
          <w:sz w:val="32"/>
          <w:szCs w:val="32"/>
          <w:highlight w:val="none"/>
          <w:lang w:val="en-GB"/>
        </w:rPr>
        <w:t>。</w:t>
      </w:r>
    </w:p>
    <w:p>
      <w:pPr>
        <w:widowControl/>
        <w:adjustRightInd w:val="0"/>
        <w:spacing w:beforeLines="0" w:afterLines="0" w:line="560" w:lineRule="exact"/>
        <w:ind w:firstLine="640" w:firstLineChars="200"/>
        <w:contextualSpacing/>
        <w:outlineLvl w:val="2"/>
        <w:rPr>
          <w:rFonts w:hint="eastAsia" w:ascii="Arial" w:hAnsi="Arial" w:eastAsia="仿宋_GB2312" w:cs="Arial"/>
          <w:sz w:val="32"/>
          <w:szCs w:val="32"/>
          <w:highlight w:val="none"/>
          <w:lang w:val="en-US" w:eastAsia="zh-CN"/>
        </w:rPr>
      </w:pPr>
      <w:r>
        <w:rPr>
          <w:rFonts w:hint="eastAsia" w:ascii="仿宋_GB2312" w:hAnsi="仿宋" w:eastAsia="仿宋_GB2312" w:cs="MS Mincho"/>
          <w:sz w:val="32"/>
          <w:szCs w:val="32"/>
          <w:highlight w:val="none"/>
          <w:lang w:val="en-GB" w:eastAsia="zh-CN"/>
        </w:rPr>
        <w:t>收入覆盖率</w:t>
      </w:r>
      <w:r>
        <w:rPr>
          <w:rFonts w:hint="eastAsia" w:ascii="仿宋_GB2312" w:hAnsi="仿宋" w:eastAsia="仿宋_GB2312" w:cs="MS Mincho"/>
          <w:sz w:val="32"/>
          <w:szCs w:val="32"/>
          <w:highlight w:val="none"/>
          <w:lang w:val="en-US" w:eastAsia="zh-CN"/>
        </w:rPr>
        <w:t>=（过去三年保险服务收入+过去三年综合投资收益）</w:t>
      </w:r>
      <w:r>
        <w:rPr>
          <w:rFonts w:hint="default" w:ascii="Arial" w:hAnsi="Arial" w:eastAsia="仿宋_GB2312" w:cs="Arial"/>
          <w:sz w:val="32"/>
          <w:szCs w:val="32"/>
          <w:highlight w:val="none"/>
          <w:lang w:val="en-US" w:eastAsia="zh-CN"/>
        </w:rPr>
        <w:t>÷</w:t>
      </w:r>
      <w:r>
        <w:rPr>
          <w:rFonts w:hint="eastAsia" w:ascii="Arial" w:hAnsi="Arial" w:eastAsia="仿宋_GB2312" w:cs="Arial"/>
          <w:sz w:val="32"/>
          <w:szCs w:val="32"/>
          <w:highlight w:val="none"/>
          <w:lang w:val="en-US" w:eastAsia="zh-CN"/>
        </w:rPr>
        <w:t>过去三年综合成本</w:t>
      </w:r>
    </w:p>
    <w:p>
      <w:pPr>
        <w:keepNext w:val="0"/>
        <w:keepLines w:val="0"/>
        <w:pageBreakBefore w:val="0"/>
        <w:widowControl/>
        <w:kinsoku/>
        <w:wordWrap/>
        <w:overflowPunct/>
        <w:topLinePunct w:val="0"/>
        <w:autoSpaceDE/>
        <w:autoSpaceDN/>
        <w:bidi w:val="0"/>
        <w:adjustRightInd/>
        <w:snapToGrid/>
        <w:spacing w:before="0" w:beforeLines="0" w:afterLines="0" w:line="560" w:lineRule="exact"/>
        <w:ind w:firstLine="640"/>
        <w:textAlignment w:val="auto"/>
        <w:rPr>
          <w:rFonts w:hint="eastAsia" w:ascii="仿宋_GB2312" w:hAnsi="仿宋" w:eastAsia="仿宋_GB2312" w:cs="Times New Roman"/>
          <w:sz w:val="32"/>
          <w:szCs w:val="32"/>
          <w:highlight w:val="none"/>
          <w:lang w:val="en-GB" w:eastAsia="zh-CN"/>
        </w:rPr>
      </w:pPr>
      <w:r>
        <w:rPr>
          <w:rFonts w:hint="eastAsia" w:ascii="仿宋_GB2312" w:hAnsi="仿宋_GB2312" w:eastAsia="仿宋_GB2312" w:cs="仿宋_GB2312"/>
          <w:szCs w:val="32"/>
          <w:highlight w:val="none"/>
          <w:lang w:eastAsia="zh-CN"/>
        </w:rPr>
        <w:t>其中，</w:t>
      </w:r>
      <w:r>
        <w:rPr>
          <w:rFonts w:hint="eastAsia" w:ascii="仿宋_GB2312" w:hAnsi="仿宋" w:eastAsia="仿宋_GB2312" w:cs="MS Mincho"/>
          <w:sz w:val="32"/>
          <w:szCs w:val="32"/>
          <w:highlight w:val="none"/>
          <w:lang w:val="en-US" w:eastAsia="zh-CN"/>
        </w:rPr>
        <w:t>过去</w:t>
      </w:r>
      <w:r>
        <w:rPr>
          <w:rFonts w:hint="eastAsia" w:ascii="仿宋_GB2312" w:hAnsi="仿宋" w:eastAsia="仿宋_GB2312" w:cs="Times New Roman"/>
          <w:sz w:val="32"/>
          <w:szCs w:val="32"/>
          <w:highlight w:val="none"/>
          <w:lang w:val="en-US" w:eastAsia="zh-CN"/>
        </w:rPr>
        <w:t>三年综合投资收益为滚动过去36个月累计综合投资收益，</w:t>
      </w:r>
      <w:r>
        <w:rPr>
          <w:rFonts w:hint="eastAsia" w:ascii="仿宋_GB2312" w:hAnsi="仿宋" w:eastAsia="仿宋_GB2312" w:cs="Times New Roman"/>
          <w:sz w:val="32"/>
          <w:szCs w:val="32"/>
          <w:highlight w:val="none"/>
        </w:rPr>
        <w:t>综合投资收益=</w:t>
      </w:r>
      <w:r>
        <w:rPr>
          <w:rFonts w:hint="eastAsia" w:ascii="仿宋_GB2312" w:hAnsi="仿宋" w:eastAsia="仿宋_GB2312" w:cs="Times New Roman"/>
          <w:sz w:val="32"/>
          <w:szCs w:val="32"/>
          <w:highlight w:val="none"/>
          <w:lang w:val="en-US" w:eastAsia="zh-CN"/>
        </w:rPr>
        <w:t>利息收入</w:t>
      </w:r>
      <w:r>
        <w:rPr>
          <w:rFonts w:hint="eastAsia" w:ascii="仿宋_GB2312" w:hAnsi="仿宋" w:eastAsia="仿宋_GB2312" w:cs="Times New Roman"/>
          <w:sz w:val="32"/>
          <w:szCs w:val="32"/>
          <w:highlight w:val="none"/>
          <w:lang w:val="en-GB"/>
        </w:rPr>
        <w:t>+</w:t>
      </w:r>
      <w:r>
        <w:rPr>
          <w:rFonts w:hint="eastAsia" w:ascii="仿宋_GB2312" w:hAnsi="仿宋" w:eastAsia="仿宋_GB2312" w:cs="Times New Roman"/>
          <w:sz w:val="32"/>
          <w:szCs w:val="32"/>
          <w:highlight w:val="none"/>
          <w:lang w:val="en-GB" w:eastAsia="zh-CN"/>
        </w:rPr>
        <w:t>投资收益</w:t>
      </w:r>
      <w:r>
        <w:rPr>
          <w:rFonts w:hint="eastAsia" w:ascii="仿宋_GB2312" w:hAnsi="仿宋" w:eastAsia="仿宋_GB2312" w:cs="Times New Roman"/>
          <w:sz w:val="32"/>
          <w:szCs w:val="32"/>
          <w:highlight w:val="none"/>
          <w:lang w:val="en-GB"/>
        </w:rPr>
        <w:t>+</w:t>
      </w:r>
      <w:r>
        <w:rPr>
          <w:rFonts w:hint="eastAsia" w:ascii="仿宋_GB2312" w:hAnsi="仿宋" w:eastAsia="仿宋_GB2312" w:cs="Times New Roman"/>
          <w:sz w:val="32"/>
          <w:szCs w:val="32"/>
          <w:highlight w:val="none"/>
          <w:lang w:val="en-GB" w:eastAsia="zh-CN"/>
        </w:rPr>
        <w:t>公允价值变动损益</w:t>
      </w:r>
      <w:r>
        <w:rPr>
          <w:rFonts w:hint="eastAsia" w:ascii="仿宋_GB2312" w:hAnsi="仿宋" w:eastAsia="仿宋_GB2312" w:cs="Times New Roman"/>
          <w:sz w:val="32"/>
          <w:szCs w:val="32"/>
          <w:highlight w:val="none"/>
          <w:lang w:val="en-GB"/>
        </w:rPr>
        <w:t>+其他投资损益+</w:t>
      </w:r>
      <w:r>
        <w:rPr>
          <w:rFonts w:hint="eastAsia" w:ascii="仿宋_GB2312" w:hAnsi="仿宋_GB2312" w:eastAsia="仿宋_GB2312" w:cs="仿宋_GB2312"/>
          <w:szCs w:val="32"/>
        </w:rPr>
        <w:t>以公允价值计量且变动计入其他综合</w:t>
      </w:r>
      <w:r>
        <w:rPr>
          <w:rFonts w:hint="eastAsia" w:ascii="仿宋_GB2312" w:hAnsi="仿宋_GB2312" w:eastAsia="仿宋_GB2312" w:cs="仿宋_GB2312"/>
          <w:szCs w:val="32"/>
          <w:lang w:eastAsia="zh-CN"/>
        </w:rPr>
        <w:t>收益（</w:t>
      </w:r>
      <w:r>
        <w:rPr>
          <w:rFonts w:hint="eastAsia" w:ascii="仿宋_GB2312" w:hAnsi="仿宋_GB2312" w:eastAsia="仿宋_GB2312" w:cs="仿宋_GB2312"/>
          <w:szCs w:val="32"/>
        </w:rPr>
        <w:t>以下简称“FVOCI”</w:t>
      </w:r>
      <w:r>
        <w:rPr>
          <w:rFonts w:hint="eastAsia" w:ascii="仿宋_GB2312" w:hAnsi="仿宋_GB2312" w:eastAsia="仿宋_GB2312" w:cs="仿宋_GB2312"/>
          <w:szCs w:val="32"/>
          <w:lang w:eastAsia="zh-CN"/>
        </w:rPr>
        <w:t>）</w:t>
      </w:r>
      <w:r>
        <w:rPr>
          <w:rFonts w:hint="eastAsia" w:ascii="仿宋_GB2312" w:hAnsi="仿宋" w:eastAsia="仿宋_GB2312" w:cs="Times New Roman"/>
          <w:sz w:val="32"/>
          <w:szCs w:val="32"/>
          <w:highlight w:val="none"/>
          <w:lang w:val="en-GB"/>
        </w:rPr>
        <w:t>金融资产的公允价值变动净额+</w:t>
      </w:r>
      <w:r>
        <w:rPr>
          <w:rFonts w:hint="eastAsia" w:ascii="仿宋_GB2312" w:hAnsi="仿宋_GB2312" w:eastAsia="仿宋_GB2312" w:cs="仿宋_GB2312"/>
          <w:szCs w:val="32"/>
          <w:highlight w:val="none"/>
          <w:lang w:eastAsia="zh-CN"/>
        </w:rPr>
        <w:t>指定</w:t>
      </w:r>
      <w:r>
        <w:rPr>
          <w:rFonts w:hint="eastAsia" w:ascii="仿宋_GB2312" w:hAnsi="仿宋_GB2312" w:eastAsia="仿宋_GB2312" w:cs="仿宋_GB2312"/>
          <w:szCs w:val="32"/>
          <w:highlight w:val="none"/>
        </w:rPr>
        <w:t>为FVOCI的</w:t>
      </w:r>
      <w:r>
        <w:rPr>
          <w:rFonts w:hint="eastAsia" w:ascii="仿宋_GB2312" w:hAnsi="仿宋_GB2312" w:eastAsia="仿宋_GB2312" w:cs="仿宋_GB2312"/>
          <w:szCs w:val="32"/>
          <w:highlight w:val="none"/>
          <w:lang w:eastAsia="zh-CN"/>
        </w:rPr>
        <w:t>非交易性</w:t>
      </w:r>
      <w:r>
        <w:rPr>
          <w:rFonts w:hint="eastAsia" w:ascii="仿宋_GB2312" w:hAnsi="仿宋_GB2312" w:eastAsia="仿宋_GB2312" w:cs="仿宋_GB2312"/>
          <w:szCs w:val="32"/>
          <w:highlight w:val="none"/>
        </w:rPr>
        <w:t>权益工具</w:t>
      </w:r>
      <w:r>
        <w:rPr>
          <w:rFonts w:hint="eastAsia" w:ascii="仿宋_GB2312" w:hAnsi="仿宋_GB2312" w:eastAsia="仿宋_GB2312" w:cs="仿宋_GB2312"/>
          <w:szCs w:val="32"/>
          <w:highlight w:val="none"/>
          <w:lang w:eastAsia="zh-CN"/>
        </w:rPr>
        <w:t>投资</w:t>
      </w:r>
      <w:r>
        <w:rPr>
          <w:rFonts w:hint="eastAsia" w:ascii="仿宋_GB2312" w:hAnsi="仿宋_GB2312" w:eastAsia="仿宋_GB2312" w:cs="仿宋_GB2312"/>
          <w:szCs w:val="32"/>
          <w:highlight w:val="none"/>
        </w:rPr>
        <w:t>的</w:t>
      </w:r>
      <w:r>
        <w:rPr>
          <w:rFonts w:hint="eastAsia" w:ascii="仿宋_GB2312" w:hAnsi="仿宋_GB2312" w:eastAsia="仿宋_GB2312" w:cs="仿宋_GB2312"/>
          <w:szCs w:val="32"/>
          <w:highlight w:val="none"/>
          <w:lang w:eastAsia="zh-CN"/>
        </w:rPr>
        <w:t>处置损益</w:t>
      </w:r>
      <w:r>
        <w:rPr>
          <w:rFonts w:hint="eastAsia" w:ascii="仿宋_GB2312" w:hAnsi="仿宋" w:eastAsia="仿宋_GB2312" w:cs="Times New Roman"/>
          <w:sz w:val="32"/>
          <w:szCs w:val="32"/>
          <w:highlight w:val="none"/>
          <w:lang w:val="en-GB"/>
        </w:rPr>
        <w:t>-投资资产减值损失-利息支出</w:t>
      </w:r>
      <w:r>
        <w:rPr>
          <w:rFonts w:hint="eastAsia" w:ascii="仿宋_GB2312" w:hAnsi="仿宋" w:eastAsia="仿宋_GB2312" w:cs="Times New Roman"/>
          <w:sz w:val="32"/>
          <w:szCs w:val="32"/>
          <w:highlight w:val="none"/>
          <w:lang w:val="en-GB" w:eastAsia="zh-CN"/>
        </w:rPr>
        <w:t>。</w:t>
      </w:r>
    </w:p>
    <w:p>
      <w:pPr>
        <w:tabs>
          <w:tab w:val="left" w:pos="851"/>
        </w:tabs>
        <w:spacing w:line="560" w:lineRule="exact"/>
        <w:ind w:firstLine="640" w:firstLineChars="200"/>
        <w:contextualSpacing/>
        <w:outlineLvl w:val="2"/>
        <w:rPr>
          <w:rFonts w:hint="eastAsia" w:ascii="仿宋_GB2312" w:hAnsi="仿宋" w:eastAsia="仿宋_GB2312"/>
          <w:sz w:val="32"/>
          <w:szCs w:val="32"/>
          <w:highlight w:val="none"/>
          <w:lang w:eastAsia="zh-CN"/>
        </w:rPr>
      </w:pPr>
      <w:r>
        <w:rPr>
          <w:rFonts w:hint="eastAsia" w:ascii="仿宋_GB2312" w:hAnsi="仿宋" w:eastAsia="仿宋_GB2312" w:cs="MS Mincho"/>
          <w:sz w:val="32"/>
          <w:szCs w:val="32"/>
          <w:highlight w:val="none"/>
          <w:lang w:val="en-US" w:eastAsia="zh-CN"/>
        </w:rPr>
        <w:t>传统账户的过去三年综合成本=传统账户过去三年承保综合成本，过去</w:t>
      </w:r>
      <w:r>
        <w:rPr>
          <w:rFonts w:hint="eastAsia" w:ascii="仿宋_GB2312" w:hAnsi="仿宋" w:eastAsia="仿宋_GB2312" w:cs="Times New Roman"/>
          <w:sz w:val="32"/>
          <w:szCs w:val="32"/>
          <w:highlight w:val="none"/>
          <w:lang w:val="en-US" w:eastAsia="zh-CN"/>
        </w:rPr>
        <w:t>三年承保综合成本为滚动过去36个月累计</w:t>
      </w:r>
      <w:r>
        <w:rPr>
          <w:rFonts w:hint="eastAsia" w:ascii="仿宋_GB2312" w:hAnsi="仿宋" w:eastAsia="仿宋_GB2312"/>
          <w:sz w:val="32"/>
          <w:szCs w:val="32"/>
          <w:highlight w:val="none"/>
        </w:rPr>
        <w:t>承保综合成本</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承保综合成本=保险服务费用+承保财务损益+提取保费准备金+(分出保费的分摊-摊回保险服务费用-分出再保险财务损益)</w:t>
      </w:r>
      <w:r>
        <w:rPr>
          <w:rFonts w:hint="eastAsia" w:ascii="仿宋_GB2312" w:hAnsi="仿宋" w:eastAsia="仿宋_GB2312"/>
          <w:sz w:val="32"/>
          <w:szCs w:val="32"/>
          <w:highlight w:val="none"/>
          <w:lang w:eastAsia="zh-CN"/>
        </w:rPr>
        <w:t>。</w:t>
      </w:r>
    </w:p>
    <w:p>
      <w:pPr>
        <w:tabs>
          <w:tab w:val="left" w:pos="851"/>
        </w:tabs>
        <w:spacing w:line="560" w:lineRule="exact"/>
        <w:ind w:firstLine="640" w:firstLineChars="200"/>
        <w:contextualSpacing/>
        <w:outlineLvl w:val="2"/>
        <w:rPr>
          <w:rFonts w:hint="eastAsia" w:ascii="仿宋_GB2312" w:hAnsi="仿宋" w:eastAsia="仿宋_GB2312"/>
          <w:sz w:val="32"/>
          <w:szCs w:val="32"/>
          <w:highlight w:val="none"/>
        </w:rPr>
      </w:pPr>
      <w:r>
        <w:rPr>
          <w:rFonts w:hint="eastAsia" w:ascii="仿宋_GB2312" w:hAnsi="仿宋" w:eastAsia="仿宋_GB2312" w:cs="MS Mincho"/>
          <w:sz w:val="32"/>
          <w:szCs w:val="32"/>
          <w:highlight w:val="none"/>
          <w:lang w:val="en-US" w:eastAsia="zh-CN"/>
        </w:rPr>
        <w:t>普通账户的过去三年综合成本=传统账户过去三年承保综合成本+过去三年次级债、资本补充债和无固定期限资本债券利息支出</w:t>
      </w:r>
    </w:p>
    <w:p>
      <w:pPr>
        <w:spacing w:beforeLines="0" w:afterLines="0" w:line="560" w:lineRule="exact"/>
        <w:ind w:firstLine="650"/>
        <w:rPr>
          <w:rFonts w:ascii="仿宋_GB2312" w:hAnsi="仿宋" w:eastAsia="仿宋_GB2312" w:cs="Arial"/>
          <w:b/>
          <w:bCs/>
          <w:sz w:val="32"/>
          <w:szCs w:val="32"/>
          <w:highlight w:val="none"/>
        </w:rPr>
      </w:pPr>
      <w:r>
        <w:rPr>
          <w:rFonts w:hint="eastAsia" w:ascii="仿宋_GB2312" w:hAnsi="仿宋" w:eastAsia="仿宋_GB2312" w:cs="Arial"/>
          <w:b/>
          <w:bCs/>
          <w:sz w:val="32"/>
          <w:szCs w:val="32"/>
          <w:highlight w:val="none"/>
          <w:lang w:eastAsia="zh-CN"/>
        </w:rPr>
        <w:t>（</w:t>
      </w:r>
      <w:r>
        <w:rPr>
          <w:rFonts w:hint="eastAsia" w:ascii="仿宋_GB2312" w:hAnsi="仿宋" w:eastAsia="仿宋_GB2312" w:cs="Arial"/>
          <w:b/>
          <w:bCs/>
          <w:sz w:val="32"/>
          <w:szCs w:val="32"/>
          <w:highlight w:val="none"/>
        </w:rPr>
        <w:t>三</w:t>
      </w:r>
      <w:r>
        <w:rPr>
          <w:rFonts w:hint="eastAsia" w:ascii="仿宋_GB2312" w:hAnsi="仿宋" w:eastAsia="仿宋_GB2312" w:cs="Arial"/>
          <w:b/>
          <w:bCs/>
          <w:sz w:val="32"/>
          <w:szCs w:val="32"/>
          <w:highlight w:val="none"/>
          <w:lang w:eastAsia="zh-CN"/>
        </w:rPr>
        <w:t>）</w:t>
      </w:r>
      <w:r>
        <w:rPr>
          <w:rFonts w:hint="eastAsia" w:ascii="仿宋_GB2312" w:hAnsi="仿宋_GB2312" w:cs="仿宋_GB2312"/>
          <w:b/>
          <w:bCs/>
          <w:szCs w:val="32"/>
          <w:highlight w:val="none"/>
          <w:lang w:val="en-GB" w:eastAsia="zh-CN"/>
        </w:rPr>
        <w:t>压力情景下</w:t>
      </w:r>
      <w:r>
        <w:rPr>
          <w:rFonts w:hint="eastAsia" w:ascii="仿宋_GB2312" w:hAnsi="仿宋" w:eastAsia="仿宋_GB2312" w:cs="Arial"/>
          <w:b/>
          <w:bCs/>
          <w:sz w:val="32"/>
          <w:szCs w:val="32"/>
          <w:highlight w:val="none"/>
        </w:rPr>
        <w:t>流动性覆盖率</w:t>
      </w:r>
    </w:p>
    <w:p>
      <w:pPr>
        <w:spacing w:beforeLines="0" w:afterLines="0" w:line="560" w:lineRule="exact"/>
        <w:ind w:firstLine="65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衡量财产保险公司在压力情景下，获得资金以支付到期债务或履行其他支付义务的能力，防范流动性风险。</w:t>
      </w:r>
      <w:r>
        <w:rPr>
          <w:rFonts w:hint="eastAsia" w:ascii="仿宋_GB2312" w:hAnsi="仿宋_GB2312" w:cs="仿宋_GB2312"/>
          <w:bCs/>
          <w:szCs w:val="32"/>
          <w:highlight w:val="none"/>
          <w:lang w:val="en-GB" w:eastAsia="zh-CN"/>
        </w:rPr>
        <w:t>压力情景下</w:t>
      </w:r>
      <w:r>
        <w:rPr>
          <w:rFonts w:hint="eastAsia" w:ascii="仿宋_GB2312" w:hAnsi="Times New Roman" w:eastAsia="仿宋_GB2312" w:cs="Times New Roman"/>
          <w:sz w:val="32"/>
          <w:szCs w:val="32"/>
          <w:highlight w:val="none"/>
        </w:rPr>
        <w:t>流动性覆盖率指标的计算</w:t>
      </w:r>
      <w:r>
        <w:rPr>
          <w:rFonts w:hint="eastAsia" w:ascii="仿宋_GB2312" w:hAnsi="Times New Roman" w:eastAsia="仿宋_GB2312" w:cs="Times New Roman"/>
          <w:sz w:val="32"/>
          <w:szCs w:val="32"/>
          <w:highlight w:val="none"/>
          <w:lang w:eastAsia="zh-CN"/>
        </w:rPr>
        <w:t>方法按照国家金融监督管理总局有关流动性风险</w:t>
      </w:r>
      <w:r>
        <w:rPr>
          <w:rFonts w:hint="eastAsia" w:ascii="仿宋_GB2312" w:hAnsi="Times New Roman" w:eastAsia="仿宋_GB2312" w:cs="Times New Roman"/>
          <w:sz w:val="32"/>
          <w:szCs w:val="32"/>
          <w:highlight w:val="none"/>
        </w:rPr>
        <w:t>监管规则</w:t>
      </w:r>
      <w:r>
        <w:rPr>
          <w:rFonts w:hint="eastAsia" w:ascii="仿宋_GB2312" w:hAnsi="Times New Roman" w:eastAsia="仿宋_GB2312" w:cs="Times New Roman"/>
          <w:sz w:val="32"/>
          <w:szCs w:val="32"/>
          <w:highlight w:val="none"/>
          <w:lang w:eastAsia="zh-CN"/>
        </w:rPr>
        <w:t>执行。</w:t>
      </w:r>
    </w:p>
    <w:p>
      <w:pPr>
        <w:spacing w:beforeLines="0" w:afterLines="0" w:line="560" w:lineRule="exact"/>
        <w:ind w:firstLine="65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二、监测指标</w:t>
      </w:r>
    </w:p>
    <w:p>
      <w:pPr>
        <w:widowControl/>
        <w:adjustRightInd w:val="0"/>
        <w:spacing w:beforeLines="0" w:afterLines="0" w:line="560" w:lineRule="exact"/>
        <w:ind w:firstLine="643" w:firstLineChars="200"/>
        <w:contextualSpacing/>
        <w:outlineLvl w:val="2"/>
        <w:rPr>
          <w:rFonts w:hint="eastAsia" w:ascii="仿宋_GB2312" w:hAnsi="仿宋" w:eastAsia="仿宋_GB2312" w:cs="Arial"/>
          <w:b/>
          <w:bCs/>
          <w:sz w:val="32"/>
          <w:szCs w:val="32"/>
          <w:highlight w:val="none"/>
          <w:lang w:eastAsia="zh-CN"/>
        </w:rPr>
      </w:pPr>
      <w:r>
        <w:rPr>
          <w:rFonts w:hint="eastAsia" w:ascii="仿宋_GB2312" w:hAnsi="仿宋" w:eastAsia="仿宋_GB2312" w:cs="Arial"/>
          <w:b/>
          <w:bCs/>
          <w:sz w:val="32"/>
          <w:szCs w:val="32"/>
          <w:highlight w:val="none"/>
          <w:lang w:eastAsia="zh-CN"/>
        </w:rPr>
        <w:t>（</w:t>
      </w:r>
      <w:r>
        <w:rPr>
          <w:rFonts w:hint="eastAsia" w:ascii="仿宋_GB2312" w:hAnsi="仿宋" w:eastAsia="仿宋_GB2312" w:cs="Arial"/>
          <w:b/>
          <w:bCs/>
          <w:sz w:val="32"/>
          <w:szCs w:val="32"/>
          <w:highlight w:val="none"/>
        </w:rPr>
        <w:t>一</w:t>
      </w:r>
      <w:r>
        <w:rPr>
          <w:rFonts w:hint="eastAsia" w:ascii="仿宋_GB2312" w:hAnsi="仿宋" w:eastAsia="仿宋_GB2312" w:cs="Arial"/>
          <w:b/>
          <w:bCs/>
          <w:sz w:val="32"/>
          <w:szCs w:val="32"/>
          <w:highlight w:val="none"/>
          <w:lang w:eastAsia="zh-CN"/>
        </w:rPr>
        <w:t>）利差一（</w:t>
      </w:r>
      <w:r>
        <w:rPr>
          <w:rFonts w:ascii="仿宋_GB2312" w:hAnsi="仿宋" w:eastAsia="仿宋_GB2312" w:cs="Arial"/>
          <w:b/>
          <w:bCs/>
          <w:sz w:val="32"/>
          <w:szCs w:val="32"/>
          <w:highlight w:val="none"/>
        </w:rPr>
        <w:t>综合投资收益率与负债资金成本率差额</w:t>
      </w:r>
      <w:r>
        <w:rPr>
          <w:rFonts w:hint="eastAsia" w:ascii="仿宋_GB2312" w:hAnsi="仿宋" w:eastAsia="仿宋_GB2312" w:cs="Arial"/>
          <w:b/>
          <w:bCs/>
          <w:sz w:val="32"/>
          <w:szCs w:val="32"/>
          <w:highlight w:val="none"/>
          <w:lang w:eastAsia="zh-CN"/>
        </w:rPr>
        <w:t>）</w:t>
      </w:r>
    </w:p>
    <w:p>
      <w:pPr>
        <w:widowControl/>
        <w:adjustRightInd w:val="0"/>
        <w:spacing w:beforeLines="0" w:afterLines="0" w:line="560" w:lineRule="exact"/>
        <w:ind w:firstLine="640" w:firstLineChars="200"/>
        <w:contextualSpacing/>
        <w:outlineLvl w:val="2"/>
        <w:rPr>
          <w:rFonts w:ascii="仿宋_GB2312" w:hAnsi="Times New Roman" w:eastAsia="仿宋_GB2312" w:cs="Times New Roman"/>
          <w:sz w:val="32"/>
          <w:szCs w:val="32"/>
          <w:highlight w:val="none"/>
        </w:rPr>
      </w:pPr>
      <w:r>
        <w:rPr>
          <w:rFonts w:hint="eastAsia" w:ascii="仿宋_GB2312" w:hAnsi="仿宋" w:eastAsia="仿宋_GB2312" w:cs="Arial"/>
          <w:sz w:val="32"/>
          <w:szCs w:val="32"/>
          <w:highlight w:val="none"/>
        </w:rPr>
        <w:t>衡量财产</w:t>
      </w:r>
      <w:r>
        <w:rPr>
          <w:rFonts w:hint="eastAsia" w:ascii="仿宋_GB2312" w:hAnsi="Times New Roman" w:eastAsia="仿宋_GB2312" w:cs="Times New Roman"/>
          <w:sz w:val="32"/>
          <w:szCs w:val="32"/>
          <w:highlight w:val="none"/>
        </w:rPr>
        <w:t>保险公司整体投资收益水平能否覆盖公司的整体业务成本。</w:t>
      </w:r>
    </w:p>
    <w:p>
      <w:pPr>
        <w:widowControl/>
        <w:adjustRightInd w:val="0"/>
        <w:spacing w:beforeLines="0" w:afterLines="0" w:line="560" w:lineRule="exact"/>
        <w:ind w:firstLine="640" w:firstLineChars="200"/>
        <w:contextualSpacing/>
        <w:outlineLvl w:val="2"/>
        <w:rPr>
          <w:rFonts w:ascii="仿宋_GB2312" w:hAnsi="仿宋" w:eastAsia="仿宋_GB2312" w:cs="Arial"/>
          <w:sz w:val="32"/>
          <w:szCs w:val="32"/>
          <w:highlight w:val="none"/>
        </w:rPr>
      </w:pPr>
      <w:r>
        <w:rPr>
          <w:rFonts w:hint="eastAsia" w:ascii="仿宋_GB2312" w:hAnsi="仿宋" w:eastAsia="仿宋_GB2312" w:cs="Arial"/>
          <w:sz w:val="32"/>
          <w:szCs w:val="32"/>
          <w:highlight w:val="none"/>
          <w:lang w:eastAsia="zh-CN"/>
        </w:rPr>
        <w:t>利差一</w:t>
      </w:r>
      <w:r>
        <w:rPr>
          <w:rFonts w:hint="eastAsia" w:ascii="仿宋_GB2312" w:hAnsi="仿宋" w:eastAsia="仿宋_GB2312" w:cs="Arial"/>
          <w:sz w:val="32"/>
          <w:szCs w:val="32"/>
          <w:highlight w:val="none"/>
        </w:rPr>
        <w:t>=过去</w:t>
      </w:r>
      <w:r>
        <w:rPr>
          <w:rFonts w:hint="eastAsia" w:ascii="仿宋_GB2312" w:hAnsi="仿宋" w:eastAsia="仿宋_GB2312" w:cs="Arial"/>
          <w:sz w:val="32"/>
          <w:szCs w:val="32"/>
          <w:highlight w:val="none"/>
          <w:lang w:eastAsia="zh-CN"/>
        </w:rPr>
        <w:t>三年</w:t>
      </w:r>
      <w:r>
        <w:rPr>
          <w:rFonts w:ascii="仿宋_GB2312" w:hAnsi="仿宋" w:eastAsia="仿宋_GB2312" w:cs="Arial"/>
          <w:sz w:val="32"/>
          <w:szCs w:val="32"/>
          <w:highlight w:val="none"/>
        </w:rPr>
        <w:t>平均综合投资收益率-</w:t>
      </w:r>
      <w:r>
        <w:rPr>
          <w:rFonts w:hint="eastAsia" w:ascii="仿宋_GB2312" w:hAnsi="仿宋" w:eastAsia="仿宋_GB2312" w:cs="Arial"/>
          <w:sz w:val="32"/>
          <w:szCs w:val="32"/>
          <w:highlight w:val="none"/>
        </w:rPr>
        <w:t>过去</w:t>
      </w:r>
      <w:r>
        <w:rPr>
          <w:rFonts w:hint="eastAsia" w:ascii="仿宋_GB2312" w:hAnsi="仿宋" w:eastAsia="仿宋_GB2312" w:cs="Arial"/>
          <w:sz w:val="32"/>
          <w:szCs w:val="32"/>
          <w:highlight w:val="none"/>
          <w:lang w:eastAsia="zh-CN"/>
        </w:rPr>
        <w:t>三年平均</w:t>
      </w:r>
      <w:r>
        <w:rPr>
          <w:rFonts w:ascii="仿宋_GB2312" w:hAnsi="仿宋" w:eastAsia="仿宋_GB2312" w:cs="Arial"/>
          <w:sz w:val="32"/>
          <w:szCs w:val="32"/>
          <w:highlight w:val="none"/>
        </w:rPr>
        <w:t>负债资金成本率</w:t>
      </w:r>
    </w:p>
    <w:p>
      <w:pPr>
        <w:widowControl/>
        <w:adjustRightInd w:val="0"/>
        <w:spacing w:beforeLines="0" w:afterLines="0" w:line="560" w:lineRule="exact"/>
        <w:ind w:firstLine="640" w:firstLineChars="200"/>
        <w:contextualSpacing/>
        <w:outlineLvl w:val="2"/>
        <w:rPr>
          <w:rFonts w:hint="eastAsia" w:ascii="仿宋_GB2312" w:hAnsi="仿宋" w:eastAsia="仿宋_GB2312" w:cs="Arial"/>
          <w:sz w:val="32"/>
          <w:szCs w:val="32"/>
          <w:highlight w:val="none"/>
          <w:lang w:eastAsia="zh-CN"/>
        </w:rPr>
      </w:pPr>
      <w:r>
        <w:rPr>
          <w:rFonts w:hint="eastAsia" w:ascii="仿宋_GB2312" w:hAnsi="仿宋" w:eastAsia="仿宋_GB2312" w:cs="Arial"/>
          <w:sz w:val="32"/>
          <w:szCs w:val="32"/>
          <w:highlight w:val="none"/>
          <w:lang w:eastAsia="zh-CN"/>
        </w:rPr>
        <w:t>其中，三年</w:t>
      </w:r>
      <w:r>
        <w:rPr>
          <w:rFonts w:ascii="仿宋_GB2312" w:hAnsi="仿宋" w:eastAsia="仿宋_GB2312" w:cs="Arial"/>
          <w:sz w:val="32"/>
          <w:szCs w:val="32"/>
          <w:highlight w:val="none"/>
        </w:rPr>
        <w:t>平均综合投资收益率</w:t>
      </w:r>
      <w:r>
        <w:rPr>
          <w:rFonts w:hint="eastAsia" w:ascii="仿宋_GB2312" w:hAnsi="仿宋" w:eastAsia="仿宋_GB2312" w:cs="Arial"/>
          <w:sz w:val="32"/>
          <w:szCs w:val="32"/>
          <w:highlight w:val="none"/>
          <w:lang w:eastAsia="zh-CN"/>
        </w:rPr>
        <w:t>为过去三年的</w:t>
      </w:r>
      <w:r>
        <w:rPr>
          <w:rFonts w:ascii="仿宋_GB2312" w:hAnsi="仿宋" w:eastAsia="仿宋_GB2312" w:cs="Arial"/>
          <w:sz w:val="32"/>
          <w:szCs w:val="32"/>
          <w:highlight w:val="none"/>
        </w:rPr>
        <w:t>综合投资</w:t>
      </w:r>
      <w:r>
        <w:rPr>
          <w:rFonts w:hint="eastAsia" w:ascii="仿宋_GB2312" w:hAnsi="仿宋" w:eastAsia="仿宋_GB2312" w:cs="Arial"/>
          <w:sz w:val="32"/>
          <w:szCs w:val="32"/>
          <w:highlight w:val="none"/>
          <w:lang w:eastAsia="zh-CN"/>
        </w:rPr>
        <w:t>收益率按年复利后的平均值，</w:t>
      </w:r>
      <w:r>
        <w:rPr>
          <w:rFonts w:hint="eastAsia" w:ascii="仿宋_GB2312" w:hAnsi="仿宋" w:eastAsia="仿宋_GB2312" w:cs="Arial"/>
          <w:sz w:val="32"/>
          <w:szCs w:val="32"/>
          <w:highlight w:val="none"/>
        </w:rPr>
        <w:t>过去</w:t>
      </w:r>
      <w:r>
        <w:rPr>
          <w:rFonts w:hint="eastAsia" w:ascii="仿宋_GB2312" w:hAnsi="仿宋" w:eastAsia="仿宋_GB2312" w:cs="Arial"/>
          <w:sz w:val="32"/>
          <w:szCs w:val="32"/>
          <w:highlight w:val="none"/>
          <w:lang w:eastAsia="zh-CN"/>
        </w:rPr>
        <w:t>三年平均</w:t>
      </w:r>
      <w:r>
        <w:rPr>
          <w:rFonts w:ascii="仿宋_GB2312" w:hAnsi="仿宋" w:eastAsia="仿宋_GB2312" w:cs="Arial"/>
          <w:sz w:val="32"/>
          <w:szCs w:val="32"/>
          <w:highlight w:val="none"/>
        </w:rPr>
        <w:t>负债资金成本率</w:t>
      </w:r>
      <w:r>
        <w:rPr>
          <w:rFonts w:hint="eastAsia" w:ascii="仿宋_GB2312" w:hAnsi="仿宋" w:eastAsia="仿宋_GB2312" w:cs="Arial"/>
          <w:sz w:val="32"/>
          <w:szCs w:val="32"/>
          <w:highlight w:val="none"/>
          <w:lang w:eastAsia="zh-CN"/>
        </w:rPr>
        <w:t>为过去三年的负债资金成本率按年的算数平均值。</w:t>
      </w:r>
    </w:p>
    <w:p>
      <w:pPr>
        <w:widowControl/>
        <w:adjustRightInd w:val="0"/>
        <w:spacing w:beforeLines="0" w:afterLines="0" w:line="560" w:lineRule="exact"/>
        <w:ind w:firstLine="640" w:firstLineChars="200"/>
        <w:contextualSpacing/>
        <w:outlineLvl w:val="2"/>
        <w:rPr>
          <w:rFonts w:hint="default" w:ascii="仿宋_GB2312" w:hAnsi="仿宋" w:eastAsia="仿宋_GB2312" w:cs="Arial"/>
          <w:sz w:val="32"/>
          <w:szCs w:val="32"/>
          <w:highlight w:val="none"/>
          <w:lang w:val="en-US" w:eastAsia="zh-CN"/>
        </w:rPr>
      </w:pPr>
      <w:r>
        <w:rPr>
          <w:rFonts w:hint="eastAsia" w:ascii="仿宋_GB2312" w:hAnsi="仿宋" w:eastAsia="仿宋_GB2312" w:cs="Arial"/>
          <w:sz w:val="32"/>
          <w:szCs w:val="32"/>
          <w:highlight w:val="none"/>
          <w:lang w:eastAsia="zh-CN"/>
        </w:rPr>
        <w:t>综合投资收益率</w:t>
      </w:r>
      <w:r>
        <w:rPr>
          <w:rFonts w:hint="eastAsia" w:ascii="仿宋_GB2312" w:hAnsi="仿宋" w:eastAsia="仿宋_GB2312" w:cs="Arial"/>
          <w:sz w:val="32"/>
          <w:szCs w:val="32"/>
          <w:highlight w:val="none"/>
          <w:lang w:val="en-US" w:eastAsia="zh-CN"/>
        </w:rPr>
        <w:t>=</w:t>
      </w:r>
      <w:r>
        <w:rPr>
          <w:rFonts w:hint="eastAsia" w:ascii="仿宋_GB2312" w:hAnsi="仿宋" w:eastAsia="仿宋_GB2312" w:cs="Times New Roman"/>
          <w:sz w:val="32"/>
          <w:szCs w:val="32"/>
          <w:highlight w:val="none"/>
          <w:lang w:val="en-US" w:eastAsia="zh-CN"/>
        </w:rPr>
        <w:t>综合投资收益</w:t>
      </w:r>
      <w:r>
        <w:rPr>
          <w:rFonts w:hint="default" w:ascii="Arial" w:hAnsi="Arial" w:eastAsia="仿宋_GB2312" w:cs="Arial"/>
          <w:sz w:val="32"/>
          <w:szCs w:val="32"/>
          <w:highlight w:val="none"/>
          <w:lang w:val="en-US" w:eastAsia="zh-CN"/>
        </w:rPr>
        <w:t>÷</w:t>
      </w:r>
      <w:r>
        <w:rPr>
          <w:rFonts w:hint="eastAsia" w:ascii="仿宋_GB2312" w:hAnsi="仿宋" w:eastAsia="仿宋_GB2312" w:cs="Times New Roman"/>
          <w:sz w:val="32"/>
          <w:szCs w:val="32"/>
          <w:highlight w:val="none"/>
          <w:lang w:val="en-US" w:eastAsia="zh-CN"/>
        </w:rPr>
        <w:t>资金运用平均净额</w:t>
      </w:r>
    </w:p>
    <w:p>
      <w:pPr>
        <w:widowControl/>
        <w:adjustRightInd w:val="0"/>
        <w:spacing w:beforeLines="0" w:afterLines="0" w:line="560" w:lineRule="exact"/>
        <w:ind w:firstLine="640" w:firstLineChars="200"/>
        <w:contextualSpacing/>
        <w:outlineLvl w:val="2"/>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负债资金成本率=[传统保险账户负债资金成本率×</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保险合同负债净额+保费准备金余额+净资产</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+次级债、资本补充债和无固定期限资本债券账户负债资金成本率×次级债、资本补充债和无固定期限资本债券</w:t>
      </w:r>
      <w:r>
        <w:rPr>
          <w:rFonts w:hint="eastAsia" w:ascii="仿宋_GB2312" w:hAnsi="仿宋_GB2312" w:eastAsia="仿宋_GB2312" w:cs="仿宋_GB2312"/>
          <w:szCs w:val="32"/>
          <w:highlight w:val="none"/>
          <w:lang w:eastAsia="zh-CN"/>
        </w:rPr>
        <w:t>账面价值</w:t>
      </w:r>
      <w:r>
        <w:rPr>
          <w:rFonts w:hint="eastAsia" w:ascii="仿宋_GB2312" w:hAnsi="仿宋_GB2312" w:eastAsia="仿宋_GB2312" w:cs="仿宋_GB2312"/>
          <w:szCs w:val="32"/>
          <w:highlight w:val="none"/>
        </w:rPr>
        <w:t>]÷(传统保险账户保险合同负债净额+传统保险账户保费准备金余额+净资产+次级债、资本补充债和无固定期限资本债券</w:t>
      </w:r>
      <w:r>
        <w:rPr>
          <w:rFonts w:hint="eastAsia" w:ascii="仿宋_GB2312" w:hAnsi="仿宋_GB2312" w:eastAsia="仿宋_GB2312" w:cs="仿宋_GB2312"/>
          <w:szCs w:val="32"/>
          <w:highlight w:val="none"/>
          <w:lang w:eastAsia="zh-CN"/>
        </w:rPr>
        <w:t>账面价值</w:t>
      </w:r>
      <w:r>
        <w:rPr>
          <w:rFonts w:hint="eastAsia" w:ascii="仿宋_GB2312" w:hAnsi="仿宋_GB2312" w:eastAsia="仿宋_GB2312" w:cs="仿宋_GB2312"/>
          <w:szCs w:val="32"/>
          <w:highlight w:val="none"/>
        </w:rPr>
        <w:t>)×100%</w:t>
      </w:r>
    </w:p>
    <w:p>
      <w:pPr>
        <w:spacing w:beforeLines="0" w:afterLines="0" w:line="560" w:lineRule="exact"/>
        <w:ind w:firstLine="640"/>
        <w:contextualSpacing/>
        <w:rPr>
          <w:rFonts w:hint="eastAsia" w:ascii="仿宋_GB2312" w:hAnsi="仿宋_GB2312" w:eastAsia="仿宋_GB2312" w:cs="仿宋_GB2312"/>
          <w:szCs w:val="32"/>
          <w:highlight w:val="none"/>
          <w:lang w:eastAsia="zh-CN"/>
        </w:rPr>
      </w:pPr>
      <w:r>
        <w:rPr>
          <w:rFonts w:hint="eastAsia" w:ascii="仿宋_GB2312" w:hAnsi="仿宋_GB2312" w:eastAsia="仿宋_GB2312" w:cs="仿宋_GB2312"/>
          <w:szCs w:val="32"/>
          <w:highlight w:val="none"/>
        </w:rPr>
        <w:t>传统保险</w:t>
      </w:r>
      <w:r>
        <w:rPr>
          <w:rFonts w:hint="eastAsia" w:ascii="仿宋_GB2312" w:hAnsi="仿宋_GB2312" w:eastAsia="仿宋_GB2312" w:cs="仿宋_GB2312"/>
          <w:szCs w:val="32"/>
          <w:highlight w:val="none"/>
          <w:lang w:eastAsia="zh-CN"/>
        </w:rPr>
        <w:t>账户</w:t>
      </w:r>
      <w:r>
        <w:rPr>
          <w:rFonts w:hint="eastAsia" w:ascii="仿宋_GB2312" w:hAnsi="仿宋_GB2312" w:eastAsia="仿宋_GB2312" w:cs="仿宋_GB2312"/>
          <w:szCs w:val="32"/>
          <w:highlight w:val="none"/>
        </w:rPr>
        <w:t>负债资金成本率=</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承保综合成本-保险服务收入</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传统保险账户保险合同负债净额+保费准备金余额+净资产</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×100%</w:t>
      </w:r>
    </w:p>
    <w:p>
      <w:pPr>
        <w:spacing w:beforeLines="0" w:afterLines="0" w:line="560" w:lineRule="exact"/>
        <w:ind w:firstLine="640"/>
        <w:contextualSpacing/>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次级债、资本补充债和无固定期限资本债券账户负债资金成本率为保险公司发行的各期次级债、资本补充债和无固定期限资本债券按</w:t>
      </w:r>
      <w:r>
        <w:rPr>
          <w:rFonts w:hint="eastAsia" w:ascii="仿宋_GB2312" w:hAnsi="仿宋_GB2312" w:eastAsia="仿宋_GB2312" w:cs="仿宋_GB2312"/>
          <w:szCs w:val="32"/>
          <w:highlight w:val="none"/>
          <w:lang w:eastAsia="zh-CN"/>
        </w:rPr>
        <w:t>账面价值</w:t>
      </w:r>
      <w:r>
        <w:rPr>
          <w:rFonts w:hint="eastAsia" w:ascii="仿宋_GB2312" w:hAnsi="仿宋_GB2312" w:eastAsia="仿宋_GB2312" w:cs="仿宋_GB2312"/>
          <w:szCs w:val="32"/>
          <w:highlight w:val="none"/>
        </w:rPr>
        <w:t>加权的利率。</w:t>
      </w:r>
    </w:p>
    <w:p>
      <w:pPr>
        <w:pStyle w:val="4"/>
        <w:widowControl/>
        <w:numPr>
          <w:ilvl w:val="255"/>
          <w:numId w:val="0"/>
        </w:numPr>
        <w:adjustRightInd w:val="0"/>
        <w:spacing w:beforeLines="0" w:afterLines="0" w:line="560" w:lineRule="exact"/>
        <w:ind w:firstLine="643" w:firstLineChars="200"/>
        <w:contextualSpacing/>
        <w:outlineLvl w:val="2"/>
        <w:rPr>
          <w:rFonts w:hint="eastAsia" w:ascii="仿宋_GB2312" w:hAnsi="仿宋" w:eastAsia="仿宋_GB2312" w:cs="Arial"/>
          <w:b/>
          <w:bCs/>
          <w:sz w:val="32"/>
          <w:szCs w:val="32"/>
          <w:highlight w:val="none"/>
          <w:lang w:eastAsia="zh-CN"/>
        </w:rPr>
      </w:pPr>
      <w:r>
        <w:rPr>
          <w:rFonts w:hint="eastAsia" w:ascii="仿宋_GB2312" w:hAnsi="仿宋" w:eastAsia="仿宋_GB2312" w:cs="Arial"/>
          <w:b/>
          <w:bCs/>
          <w:sz w:val="32"/>
          <w:szCs w:val="32"/>
          <w:highlight w:val="none"/>
          <w:lang w:eastAsia="zh-CN"/>
        </w:rPr>
        <w:t>（</w:t>
      </w:r>
      <w:r>
        <w:rPr>
          <w:rFonts w:hint="eastAsia" w:ascii="仿宋_GB2312" w:hAnsi="仿宋" w:eastAsia="仿宋_GB2312" w:cs="Arial"/>
          <w:b/>
          <w:bCs/>
          <w:sz w:val="32"/>
          <w:szCs w:val="32"/>
          <w:highlight w:val="none"/>
        </w:rPr>
        <w:t>二</w:t>
      </w:r>
      <w:r>
        <w:rPr>
          <w:rFonts w:hint="eastAsia" w:ascii="仿宋_GB2312" w:hAnsi="仿宋" w:eastAsia="仿宋_GB2312" w:cs="Arial"/>
          <w:b/>
          <w:bCs/>
          <w:sz w:val="32"/>
          <w:szCs w:val="32"/>
          <w:highlight w:val="none"/>
          <w:lang w:eastAsia="zh-CN"/>
        </w:rPr>
        <w:t>）利差二（</w:t>
      </w:r>
      <w:r>
        <w:rPr>
          <w:rFonts w:ascii="仿宋_GB2312" w:hAnsi="仿宋" w:eastAsia="仿宋_GB2312" w:cs="Arial"/>
          <w:b/>
          <w:bCs/>
          <w:sz w:val="32"/>
          <w:szCs w:val="32"/>
          <w:highlight w:val="none"/>
        </w:rPr>
        <w:t>净投资收益率与负债资金成本率差额</w:t>
      </w:r>
      <w:r>
        <w:rPr>
          <w:rFonts w:hint="eastAsia" w:ascii="仿宋_GB2312" w:hAnsi="仿宋" w:eastAsia="仿宋_GB2312" w:cs="Arial"/>
          <w:b/>
          <w:bCs/>
          <w:sz w:val="32"/>
          <w:szCs w:val="32"/>
          <w:highlight w:val="none"/>
          <w:lang w:eastAsia="zh-CN"/>
        </w:rPr>
        <w:t>）</w:t>
      </w:r>
    </w:p>
    <w:p>
      <w:pPr>
        <w:pStyle w:val="4"/>
        <w:widowControl/>
        <w:numPr>
          <w:ilvl w:val="255"/>
          <w:numId w:val="0"/>
        </w:numPr>
        <w:adjustRightInd w:val="0"/>
        <w:spacing w:beforeLines="0" w:afterLines="0" w:line="560" w:lineRule="exact"/>
        <w:ind w:firstLine="640" w:firstLineChars="200"/>
        <w:contextualSpacing/>
        <w:outlineLvl w:val="2"/>
        <w:rPr>
          <w:rFonts w:ascii="仿宋_GB2312" w:hAnsi="Times New Roman" w:eastAsia="仿宋_GB2312" w:cs="Times New Roman"/>
          <w:sz w:val="32"/>
          <w:szCs w:val="32"/>
          <w:highlight w:val="none"/>
        </w:rPr>
      </w:pPr>
      <w:r>
        <w:rPr>
          <w:rFonts w:hint="eastAsia" w:ascii="仿宋_GB2312" w:hAnsi="仿宋" w:eastAsia="仿宋_GB2312" w:cs="MS Mincho"/>
          <w:sz w:val="32"/>
          <w:szCs w:val="32"/>
          <w:highlight w:val="none"/>
          <w:lang w:val="en-GB"/>
        </w:rPr>
        <w:t>衡量财产保险公司净投资收益能否覆盖</w:t>
      </w:r>
      <w:r>
        <w:rPr>
          <w:rFonts w:hint="eastAsia" w:ascii="仿宋_GB2312" w:hAnsi="Times New Roman" w:eastAsia="仿宋_GB2312" w:cs="Times New Roman"/>
          <w:sz w:val="32"/>
          <w:szCs w:val="32"/>
          <w:highlight w:val="none"/>
        </w:rPr>
        <w:t>公司的整体业务成本。</w:t>
      </w:r>
    </w:p>
    <w:p>
      <w:pPr>
        <w:pStyle w:val="4"/>
        <w:widowControl/>
        <w:numPr>
          <w:ilvl w:val="255"/>
          <w:numId w:val="0"/>
        </w:numPr>
        <w:adjustRightInd w:val="0"/>
        <w:spacing w:beforeLines="0" w:afterLines="0" w:line="560" w:lineRule="exact"/>
        <w:ind w:firstLine="640" w:firstLineChars="200"/>
        <w:contextualSpacing/>
        <w:outlineLvl w:val="2"/>
        <w:rPr>
          <w:rFonts w:hint="eastAsia" w:ascii="仿宋_GB2312" w:hAnsi="仿宋" w:eastAsia="仿宋_GB2312" w:cs="Arial"/>
          <w:bCs/>
          <w:sz w:val="32"/>
          <w:szCs w:val="32"/>
          <w:highlight w:val="none"/>
        </w:rPr>
      </w:pPr>
      <w:r>
        <w:rPr>
          <w:rFonts w:hint="eastAsia" w:ascii="仿宋_GB2312" w:hAnsi="仿宋" w:eastAsia="仿宋_GB2312" w:cs="Arial"/>
          <w:bCs/>
          <w:sz w:val="32"/>
          <w:szCs w:val="32"/>
          <w:highlight w:val="none"/>
          <w:lang w:eastAsia="zh-CN"/>
        </w:rPr>
        <w:t>利差二</w:t>
      </w:r>
      <w:r>
        <w:rPr>
          <w:rFonts w:hint="eastAsia" w:ascii="仿宋_GB2312" w:hAnsi="仿宋" w:eastAsia="仿宋_GB2312" w:cs="Arial"/>
          <w:bCs/>
          <w:sz w:val="32"/>
          <w:szCs w:val="32"/>
          <w:highlight w:val="none"/>
        </w:rPr>
        <w:t>=过去</w:t>
      </w:r>
      <w:r>
        <w:rPr>
          <w:rFonts w:hint="eastAsia" w:ascii="仿宋_GB2312" w:hAnsi="仿宋" w:eastAsia="仿宋_GB2312" w:cs="Arial"/>
          <w:bCs/>
          <w:sz w:val="32"/>
          <w:szCs w:val="32"/>
          <w:highlight w:val="none"/>
          <w:lang w:eastAsia="zh-CN"/>
        </w:rPr>
        <w:t>一年</w:t>
      </w:r>
      <w:r>
        <w:rPr>
          <w:rFonts w:ascii="仿宋_GB2312" w:hAnsi="仿宋" w:eastAsia="仿宋_GB2312" w:cs="Arial"/>
          <w:bCs/>
          <w:sz w:val="32"/>
          <w:szCs w:val="32"/>
          <w:highlight w:val="none"/>
        </w:rPr>
        <w:t>净投资收益率</w:t>
      </w:r>
      <w:r>
        <w:rPr>
          <w:rFonts w:hint="eastAsia" w:ascii="仿宋_GB2312" w:hAnsi="仿宋" w:eastAsia="仿宋_GB2312" w:cs="Arial"/>
          <w:bCs/>
          <w:sz w:val="32"/>
          <w:szCs w:val="32"/>
          <w:highlight w:val="none"/>
        </w:rPr>
        <w:t>-</w:t>
      </w:r>
      <w:r>
        <w:rPr>
          <w:rFonts w:hint="eastAsia" w:ascii="仿宋_GB2312" w:hAnsi="仿宋" w:eastAsia="仿宋_GB2312" w:cs="Arial"/>
          <w:bCs/>
          <w:sz w:val="32"/>
          <w:szCs w:val="32"/>
          <w:highlight w:val="none"/>
          <w:lang w:eastAsia="zh-CN"/>
        </w:rPr>
        <w:t>过去一年</w:t>
      </w:r>
      <w:r>
        <w:rPr>
          <w:rFonts w:hint="eastAsia" w:ascii="仿宋_GB2312" w:hAnsi="仿宋" w:eastAsia="仿宋_GB2312" w:cs="Arial"/>
          <w:bCs/>
          <w:sz w:val="32"/>
          <w:szCs w:val="32"/>
          <w:highlight w:val="none"/>
        </w:rPr>
        <w:t>负债资金成本率</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rPr>
          <w:rFonts w:hint="eastAsia" w:ascii="仿宋_GB2312" w:hAnsi="仿宋_GB2312" w:eastAsia="仿宋_GB2312" w:cs="仿宋_GB2312"/>
          <w:szCs w:val="32"/>
          <w:highlight w:val="none"/>
          <w:lang w:eastAsia="zh-CN"/>
        </w:rPr>
      </w:pPr>
      <w:r>
        <w:rPr>
          <w:rFonts w:hint="eastAsia" w:ascii="仿宋_GB2312" w:hAnsi="仿宋_GB2312" w:eastAsia="仿宋_GB2312" w:cs="仿宋_GB2312"/>
          <w:szCs w:val="32"/>
          <w:highlight w:val="none"/>
        </w:rPr>
        <w:t>其中，净投资收益率反映公司投资收益中包括</w:t>
      </w:r>
      <w:r>
        <w:rPr>
          <w:rFonts w:hint="eastAsia" w:ascii="仿宋_GB2312" w:hAnsi="仿宋_GB2312" w:eastAsia="仿宋_GB2312" w:cs="仿宋_GB2312"/>
          <w:szCs w:val="32"/>
          <w:highlight w:val="none"/>
          <w:lang w:val="en-GB"/>
        </w:rPr>
        <w:t>利息收入、股息红利收入、投资性房地产租金收入</w:t>
      </w:r>
      <w:r>
        <w:rPr>
          <w:rFonts w:hint="eastAsia" w:ascii="仿宋_GB2312" w:hAnsi="仿宋_GB2312" w:eastAsia="仿宋_GB2312" w:cs="仿宋_GB2312"/>
          <w:szCs w:val="32"/>
          <w:highlight w:val="none"/>
        </w:rPr>
        <w:t>等</w:t>
      </w:r>
      <w:r>
        <w:rPr>
          <w:rFonts w:hint="eastAsia" w:ascii="仿宋_GB2312" w:hAnsi="仿宋_GB2312" w:eastAsia="仿宋_GB2312" w:cs="仿宋_GB2312"/>
          <w:szCs w:val="32"/>
          <w:highlight w:val="none"/>
          <w:lang w:eastAsia="zh-CN"/>
        </w:rPr>
        <w:t>投资收益中</w:t>
      </w:r>
      <w:r>
        <w:rPr>
          <w:rFonts w:hint="eastAsia" w:ascii="仿宋_GB2312" w:hAnsi="仿宋_GB2312" w:eastAsia="仿宋_GB2312" w:cs="仿宋_GB2312"/>
          <w:szCs w:val="32"/>
          <w:highlight w:val="none"/>
          <w:lang w:val="en-US" w:eastAsia="zh-CN"/>
        </w:rPr>
        <w:t>较为稳定</w:t>
      </w:r>
      <w:r>
        <w:rPr>
          <w:rFonts w:hint="eastAsia" w:ascii="仿宋_GB2312" w:hAnsi="仿宋_GB2312" w:eastAsia="仿宋_GB2312" w:cs="仿宋_GB2312"/>
          <w:szCs w:val="32"/>
          <w:highlight w:val="none"/>
        </w:rPr>
        <w:t>的部分。</w:t>
      </w:r>
    </w:p>
    <w:p>
      <w:pPr>
        <w:pStyle w:val="4"/>
        <w:widowControl/>
        <w:numPr>
          <w:ilvl w:val="255"/>
          <w:numId w:val="0"/>
        </w:numPr>
        <w:adjustRightInd w:val="0"/>
        <w:spacing w:beforeLines="0" w:afterLines="0" w:line="560" w:lineRule="exact"/>
        <w:ind w:firstLine="643" w:firstLineChars="200"/>
        <w:contextualSpacing/>
        <w:outlineLvl w:val="2"/>
        <w:rPr>
          <w:rFonts w:hint="eastAsia" w:ascii="仿宋_GB2312" w:hAnsi="仿宋" w:eastAsia="仿宋_GB2312" w:cs="Arial"/>
          <w:b/>
          <w:bCs/>
          <w:sz w:val="32"/>
          <w:szCs w:val="32"/>
          <w:highlight w:val="none"/>
          <w:lang w:eastAsia="zh-CN"/>
        </w:rPr>
      </w:pPr>
      <w:r>
        <w:rPr>
          <w:rFonts w:hint="eastAsia" w:ascii="仿宋_GB2312" w:hAnsi="仿宋" w:eastAsia="仿宋_GB2312" w:cs="Arial"/>
          <w:b/>
          <w:bCs/>
          <w:sz w:val="32"/>
          <w:szCs w:val="32"/>
          <w:highlight w:val="none"/>
          <w:lang w:eastAsia="zh-CN"/>
        </w:rPr>
        <w:t>（</w:t>
      </w:r>
      <w:r>
        <w:rPr>
          <w:rFonts w:hint="eastAsia" w:ascii="仿宋_GB2312" w:hAnsi="仿宋" w:eastAsia="仿宋_GB2312" w:cs="Arial"/>
          <w:b/>
          <w:bCs/>
          <w:sz w:val="32"/>
          <w:szCs w:val="32"/>
          <w:highlight w:val="none"/>
        </w:rPr>
        <w:t>三</w:t>
      </w:r>
      <w:r>
        <w:rPr>
          <w:rFonts w:hint="eastAsia" w:ascii="仿宋_GB2312" w:hAnsi="仿宋" w:eastAsia="仿宋_GB2312" w:cs="Arial"/>
          <w:b/>
          <w:bCs/>
          <w:sz w:val="32"/>
          <w:szCs w:val="32"/>
          <w:highlight w:val="none"/>
          <w:lang w:eastAsia="zh-CN"/>
        </w:rPr>
        <w:t>）</w:t>
      </w:r>
      <w:r>
        <w:rPr>
          <w:rFonts w:hint="eastAsia" w:ascii="仿宋_GB2312" w:hAnsi="仿宋" w:eastAsia="仿宋_GB2312" w:cs="Arial"/>
          <w:b/>
          <w:bCs/>
          <w:sz w:val="32"/>
          <w:szCs w:val="32"/>
          <w:highlight w:val="none"/>
        </w:rPr>
        <w:t>宏观经济压力情景下</w:t>
      </w:r>
      <w:r>
        <w:rPr>
          <w:rFonts w:hint="eastAsia" w:ascii="仿宋_GB2312" w:hAnsi="仿宋" w:eastAsia="仿宋_GB2312" w:cs="Arial"/>
          <w:b/>
          <w:bCs/>
          <w:sz w:val="32"/>
          <w:szCs w:val="32"/>
          <w:highlight w:val="none"/>
          <w:lang w:eastAsia="zh-CN"/>
        </w:rPr>
        <w:t>利差一</w:t>
      </w:r>
    </w:p>
    <w:p>
      <w:pPr>
        <w:spacing w:beforeLines="0" w:afterLines="0" w:line="560" w:lineRule="exact"/>
        <w:ind w:firstLine="65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衡量财产保险公司在宏观经济形势恶化情景下，整体投资收益水平能否覆盖公司的整体业务成本。</w:t>
      </w:r>
    </w:p>
    <w:p>
      <w:pPr>
        <w:spacing w:beforeLines="0" w:afterLines="0" w:line="560" w:lineRule="exact"/>
        <w:ind w:firstLine="65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宏观经济压力情景下</w:t>
      </w:r>
      <w:r>
        <w:rPr>
          <w:rFonts w:hint="eastAsia" w:ascii="仿宋_GB2312" w:hAnsi="Times New Roman" w:eastAsia="仿宋_GB2312" w:cs="Times New Roman"/>
          <w:sz w:val="32"/>
          <w:szCs w:val="32"/>
          <w:highlight w:val="none"/>
          <w:lang w:eastAsia="zh-CN"/>
        </w:rPr>
        <w:t>利差一</w:t>
      </w:r>
      <w:r>
        <w:rPr>
          <w:rFonts w:hint="eastAsia" w:ascii="仿宋_GB2312" w:hAnsi="Times New Roman" w:eastAsia="仿宋_GB2312" w:cs="Times New Roman"/>
          <w:sz w:val="32"/>
          <w:szCs w:val="32"/>
          <w:highlight w:val="none"/>
        </w:rPr>
        <w:t>=宏观压力情景下综合投资收益率-宏观压力情景下负债资金成本率</w:t>
      </w:r>
    </w:p>
    <w:p>
      <w:pPr>
        <w:spacing w:beforeLines="0" w:afterLines="0" w:line="560" w:lineRule="exact"/>
        <w:ind w:firstLine="650"/>
        <w:rPr>
          <w:rFonts w:hint="eastAsia" w:ascii="仿宋_GB2312" w:hAnsi="Times New Roman" w:eastAsia="仿宋_GB2312" w:cs="Times New Roman"/>
          <w:b/>
          <w:sz w:val="32"/>
          <w:szCs w:val="32"/>
          <w:highlight w:val="none"/>
          <w:lang w:eastAsia="zh-CN"/>
        </w:rPr>
      </w:pPr>
      <w:r>
        <w:rPr>
          <w:rFonts w:hint="eastAsia" w:ascii="仿宋_GB2312" w:hAnsi="Times New Roman" w:eastAsia="仿宋_GB2312" w:cs="Times New Roman"/>
          <w:b/>
          <w:sz w:val="32"/>
          <w:szCs w:val="32"/>
          <w:highlight w:val="none"/>
          <w:lang w:eastAsia="zh-CN"/>
        </w:rPr>
        <w:t>（</w:t>
      </w:r>
      <w:r>
        <w:rPr>
          <w:rFonts w:hint="eastAsia" w:ascii="仿宋_GB2312" w:hAnsi="Times New Roman" w:eastAsia="仿宋_GB2312" w:cs="Times New Roman"/>
          <w:b/>
          <w:sz w:val="32"/>
          <w:szCs w:val="32"/>
          <w:highlight w:val="none"/>
        </w:rPr>
        <w:t>四</w:t>
      </w:r>
      <w:r>
        <w:rPr>
          <w:rFonts w:hint="eastAsia" w:ascii="仿宋_GB2312" w:hAnsi="Times New Roman" w:eastAsia="仿宋_GB2312" w:cs="Times New Roman"/>
          <w:b/>
          <w:sz w:val="32"/>
          <w:szCs w:val="32"/>
          <w:highlight w:val="none"/>
          <w:lang w:eastAsia="zh-CN"/>
        </w:rPr>
        <w:t>）</w:t>
      </w:r>
      <w:r>
        <w:rPr>
          <w:rFonts w:hint="eastAsia" w:ascii="仿宋_GB2312" w:hAnsi="Times New Roman" w:eastAsia="仿宋_GB2312" w:cs="Times New Roman"/>
          <w:b/>
          <w:sz w:val="32"/>
          <w:szCs w:val="32"/>
          <w:highlight w:val="none"/>
        </w:rPr>
        <w:t>保险业务压力情景下</w:t>
      </w:r>
      <w:r>
        <w:rPr>
          <w:rFonts w:hint="eastAsia" w:ascii="仿宋_GB2312" w:hAnsi="Times New Roman" w:eastAsia="仿宋_GB2312" w:cs="Times New Roman"/>
          <w:b/>
          <w:sz w:val="32"/>
          <w:szCs w:val="32"/>
          <w:highlight w:val="none"/>
          <w:lang w:eastAsia="zh-CN"/>
        </w:rPr>
        <w:t>利差一</w:t>
      </w:r>
    </w:p>
    <w:p>
      <w:pPr>
        <w:spacing w:beforeLines="0" w:afterLines="0" w:line="560" w:lineRule="exact"/>
        <w:ind w:firstLine="65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衡量财产保险公司在保险业务恶化情景下，整体投资收益水平能否覆盖公司的整体业务成本。</w:t>
      </w:r>
    </w:p>
    <w:p>
      <w:pPr>
        <w:spacing w:beforeLines="0" w:afterLines="0" w:line="560" w:lineRule="exact"/>
        <w:ind w:firstLine="650"/>
        <w:rPr>
          <w:rFonts w:hint="eastAsia" w:ascii="仿宋_GB2312" w:hAnsi="Times New Roman" w:eastAsia="仿宋_GB2312" w:cs="Times New Roman"/>
          <w:sz w:val="32"/>
          <w:szCs w:val="32"/>
          <w:highlight w:val="none"/>
          <w:lang w:val="en-GB" w:eastAsia="zh-CN"/>
        </w:rPr>
      </w:pPr>
      <w:r>
        <w:rPr>
          <w:rFonts w:hint="eastAsia" w:ascii="仿宋_GB2312" w:hAnsi="Times New Roman" w:eastAsia="仿宋_GB2312" w:cs="Times New Roman"/>
          <w:sz w:val="32"/>
          <w:szCs w:val="32"/>
          <w:highlight w:val="none"/>
        </w:rPr>
        <w:t>保险业务压力情景下</w:t>
      </w:r>
      <w:r>
        <w:rPr>
          <w:rFonts w:hint="eastAsia" w:ascii="仿宋_GB2312" w:hAnsi="Times New Roman" w:eastAsia="仿宋_GB2312" w:cs="Times New Roman"/>
          <w:sz w:val="32"/>
          <w:szCs w:val="32"/>
          <w:highlight w:val="none"/>
          <w:lang w:eastAsia="zh-CN"/>
        </w:rPr>
        <w:t>利差一</w:t>
      </w:r>
      <w:r>
        <w:rPr>
          <w:rFonts w:hint="eastAsia" w:ascii="仿宋_GB2312" w:hAnsi="Times New Roman" w:eastAsia="仿宋_GB2312" w:cs="Times New Roman"/>
          <w:sz w:val="32"/>
          <w:szCs w:val="32"/>
          <w:highlight w:val="none"/>
        </w:rPr>
        <w:t>=保险业务压力情景下综合投资收益率-保险业务压力情景下负债资金成本率</w:t>
      </w:r>
    </w:p>
    <w:p>
      <w:pPr>
        <w:widowControl/>
        <w:spacing w:beforeLines="0" w:afterLines="0" w:line="560" w:lineRule="exact"/>
        <w:ind w:firstLine="0"/>
        <w:jc w:val="left"/>
        <w:rPr>
          <w:szCs w:val="32"/>
          <w:highlight w:val="none"/>
        </w:rPr>
      </w:pPr>
    </w:p>
    <w:p>
      <w:pPr>
        <w:widowControl/>
        <w:spacing w:beforeLines="0" w:afterLines="0" w:line="560" w:lineRule="exact"/>
        <w:ind w:firstLine="0"/>
        <w:jc w:val="left"/>
        <w:rPr>
          <w:szCs w:val="32"/>
          <w:highlight w:val="none"/>
        </w:rPr>
      </w:pPr>
    </w:p>
    <w:p>
      <w:pPr>
        <w:widowControl/>
        <w:spacing w:beforeLines="0" w:afterLines="0" w:line="560" w:lineRule="exact"/>
        <w:ind w:firstLine="0"/>
        <w:jc w:val="left"/>
        <w:rPr>
          <w:szCs w:val="32"/>
          <w:highlight w:val="none"/>
        </w:rPr>
      </w:pPr>
    </w:p>
    <w:p>
      <w:pPr>
        <w:widowControl/>
        <w:spacing w:beforeLines="0" w:afterLines="0" w:line="560" w:lineRule="exact"/>
        <w:ind w:firstLine="0"/>
        <w:jc w:val="left"/>
        <w:rPr>
          <w:szCs w:val="32"/>
          <w:highlight w:val="none"/>
        </w:rPr>
      </w:pPr>
    </w:p>
    <w:p>
      <w:pPr>
        <w:widowControl/>
        <w:spacing w:beforeLines="0" w:afterLines="0" w:line="560" w:lineRule="exact"/>
        <w:ind w:firstLine="0"/>
        <w:jc w:val="left"/>
        <w:rPr>
          <w:szCs w:val="32"/>
          <w:highlight w:val="none"/>
        </w:rPr>
      </w:pPr>
    </w:p>
    <w:p>
      <w:pPr>
        <w:pStyle w:val="2"/>
        <w:spacing w:before="0" w:beforeLines="0" w:after="0" w:afterLines="0" w:line="560" w:lineRule="exact"/>
        <w:ind w:firstLine="0" w:firstLineChars="0"/>
        <w:jc w:val="left"/>
        <w:rPr>
          <w:rFonts w:ascii="仿宋_GB2312" w:eastAsia="仿宋_GB2312"/>
          <w:b/>
          <w:bCs/>
          <w:highlight w:val="none"/>
          <w:lang w:val="en-US"/>
        </w:rPr>
      </w:pPr>
      <w:r>
        <w:rPr>
          <w:rFonts w:hint="eastAsia" w:ascii="仿宋_GB2312" w:eastAsia="仿宋_GB2312"/>
          <w:b/>
          <w:bCs/>
          <w:highlight w:val="none"/>
        </w:rPr>
        <w:t>附件</w:t>
      </w:r>
      <w:r>
        <w:rPr>
          <w:rFonts w:hint="eastAsia" w:ascii="仿宋_GB2312" w:eastAsia="仿宋_GB2312"/>
          <w:b/>
          <w:bCs/>
          <w:highlight w:val="none"/>
          <w:lang w:val="en-US"/>
        </w:rPr>
        <w:t>2.</w:t>
      </w:r>
      <w:r>
        <w:rPr>
          <w:rFonts w:hint="eastAsia" w:ascii="仿宋_GB2312" w:eastAsia="仿宋_GB2312"/>
          <w:b/>
          <w:bCs/>
          <w:highlight w:val="none"/>
        </w:rPr>
        <w:t>人身保险公司资产负债管理监管指标</w:t>
      </w:r>
      <w:r>
        <w:rPr>
          <w:rFonts w:hint="eastAsia" w:ascii="仿宋_GB2312" w:eastAsia="仿宋_GB2312"/>
          <w:b/>
          <w:bCs/>
          <w:highlight w:val="none"/>
          <w:lang w:val="en-US"/>
        </w:rPr>
        <w:t>和监测指标</w:t>
      </w:r>
    </w:p>
    <w:p>
      <w:pPr>
        <w:pStyle w:val="2"/>
        <w:numPr>
          <w:ilvl w:val="0"/>
          <w:numId w:val="7"/>
        </w:numPr>
        <w:spacing w:before="0" w:beforeLines="0" w:after="0" w:afterLines="0" w:line="560" w:lineRule="exact"/>
        <w:ind w:firstLine="640"/>
        <w:rPr>
          <w:highlight w:val="none"/>
          <w:lang w:val="en-US"/>
        </w:rPr>
      </w:pPr>
      <w:r>
        <w:rPr>
          <w:rFonts w:hint="eastAsia"/>
          <w:highlight w:val="none"/>
          <w:lang w:val="en-US"/>
        </w:rPr>
        <w:t>监管指标</w:t>
      </w:r>
    </w:p>
    <w:p>
      <w:pPr>
        <w:pStyle w:val="3"/>
        <w:spacing w:beforeLines="0" w:afterLines="0" w:line="560" w:lineRule="exact"/>
        <w:ind w:left="-3" w:firstLine="643" w:firstLineChars="0"/>
        <w:rPr>
          <w:rFonts w:ascii="仿宋_GB2312"/>
          <w:bCs/>
          <w:highlight w:val="none"/>
          <w:lang w:val="en-GB"/>
        </w:rPr>
      </w:pPr>
      <w:r>
        <w:rPr>
          <w:rFonts w:hint="eastAsia" w:ascii="仿宋_GB2312"/>
          <w:bCs/>
          <w:highlight w:val="none"/>
          <w:lang w:val="en-GB"/>
        </w:rPr>
        <w:t>有效久期缺口</w:t>
      </w:r>
    </w:p>
    <w:p>
      <w:pPr>
        <w:pStyle w:val="47"/>
        <w:spacing w:beforeLines="0" w:afterLines="0" w:line="560" w:lineRule="exact"/>
        <w:ind w:firstLine="640"/>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有效久期</w:t>
      </w:r>
      <w:r>
        <w:rPr>
          <w:rFonts w:hint="eastAsia" w:ascii="仿宋_GB2312" w:hAnsi="仿宋_GB2312" w:eastAsia="仿宋_GB2312" w:cs="仿宋_GB2312"/>
          <w:sz w:val="32"/>
          <w:szCs w:val="32"/>
          <w:highlight w:val="none"/>
          <w:lang w:eastAsia="zh-CN"/>
        </w:rPr>
        <w:t>是在修正久期的基础上，</w:t>
      </w:r>
      <w:r>
        <w:rPr>
          <w:rFonts w:hint="eastAsia" w:ascii="仿宋_GB2312" w:hAnsi="仿宋_GB2312" w:eastAsia="仿宋_GB2312" w:cs="仿宋_GB2312"/>
          <w:sz w:val="32"/>
          <w:szCs w:val="32"/>
          <w:highlight w:val="none"/>
          <w:lang w:val="en-US"/>
        </w:rPr>
        <w:t>考虑保险公司部分资产的含权因素、分红利率和万能结算利率的可调节因素等对预期现金流的影响，</w:t>
      </w:r>
      <w:r>
        <w:rPr>
          <w:rFonts w:hint="eastAsia" w:ascii="仿宋_GB2312" w:hAnsi="仿宋_GB2312" w:eastAsia="仿宋_GB2312" w:cs="仿宋_GB2312"/>
          <w:sz w:val="32"/>
          <w:szCs w:val="32"/>
          <w:highlight w:val="none"/>
          <w:lang w:val="en-US" w:eastAsia="zh-CN"/>
        </w:rPr>
        <w:t>更为准确地</w:t>
      </w:r>
      <w:r>
        <w:rPr>
          <w:rFonts w:hint="eastAsia" w:ascii="仿宋_GB2312" w:hAnsi="仿宋_GB2312" w:eastAsia="仿宋_GB2312" w:cs="仿宋_GB2312"/>
          <w:sz w:val="32"/>
          <w:szCs w:val="32"/>
          <w:highlight w:val="none"/>
          <w:lang w:val="en-US"/>
        </w:rPr>
        <w:t>衡量保险公司资产和负债</w:t>
      </w:r>
      <w:r>
        <w:rPr>
          <w:rFonts w:hint="eastAsia" w:ascii="仿宋_GB2312" w:hAnsi="仿宋_GB2312" w:eastAsia="仿宋_GB2312" w:cs="仿宋_GB2312"/>
          <w:sz w:val="32"/>
          <w:szCs w:val="32"/>
          <w:highlight w:val="none"/>
          <w:lang w:val="en-US" w:eastAsia="zh-CN"/>
        </w:rPr>
        <w:t>对利率变化的敏感度</w:t>
      </w:r>
      <w:r>
        <w:rPr>
          <w:rFonts w:hint="eastAsia" w:ascii="仿宋_GB2312" w:hAnsi="仿宋_GB2312" w:eastAsia="仿宋_GB2312" w:cs="仿宋_GB2312"/>
          <w:sz w:val="32"/>
          <w:szCs w:val="32"/>
          <w:highlight w:val="none"/>
          <w:lang w:val="en-US"/>
        </w:rPr>
        <w:t>。负债端为全口径保险业务，资产端仅包含可计算现金流的固定收益类</w:t>
      </w:r>
      <w:r>
        <w:rPr>
          <w:rFonts w:hint="eastAsia" w:ascii="仿宋_GB2312" w:hAnsi="仿宋_GB2312" w:eastAsia="仿宋_GB2312" w:cs="仿宋_GB2312"/>
          <w:sz w:val="32"/>
          <w:szCs w:val="32"/>
          <w:highlight w:val="none"/>
          <w:lang w:val="en-US" w:eastAsia="zh-CN"/>
        </w:rPr>
        <w:t>投资</w:t>
      </w:r>
      <w:r>
        <w:rPr>
          <w:rFonts w:hint="eastAsia" w:ascii="仿宋_GB2312" w:hAnsi="仿宋_GB2312" w:eastAsia="仿宋_GB2312" w:cs="仿宋_GB2312"/>
          <w:sz w:val="32"/>
          <w:szCs w:val="32"/>
          <w:highlight w:val="none"/>
          <w:lang w:val="en-US"/>
        </w:rPr>
        <w:t>资产，因此，需要对资产</w:t>
      </w:r>
      <w:r>
        <w:rPr>
          <w:rFonts w:hint="eastAsia" w:ascii="仿宋_GB2312" w:hAnsi="仿宋_GB2312" w:eastAsia="仿宋_GB2312" w:cs="仿宋_GB2312"/>
          <w:sz w:val="32"/>
          <w:szCs w:val="32"/>
          <w:highlight w:val="none"/>
          <w:lang w:val="en-US" w:eastAsia="zh-CN"/>
        </w:rPr>
        <w:t>有效</w:t>
      </w:r>
      <w:r>
        <w:rPr>
          <w:rFonts w:hint="eastAsia" w:ascii="仿宋_GB2312" w:hAnsi="仿宋_GB2312" w:eastAsia="仿宋_GB2312" w:cs="仿宋_GB2312"/>
          <w:sz w:val="32"/>
          <w:szCs w:val="32"/>
          <w:highlight w:val="none"/>
          <w:lang w:val="en-US"/>
        </w:rPr>
        <w:t>久期进行规模调整。</w:t>
      </w:r>
    </w:p>
    <w:p>
      <w:pPr>
        <w:pStyle w:val="47"/>
        <w:spacing w:beforeLines="0" w:afterLines="0" w:line="560" w:lineRule="exact"/>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规模调整后的</w:t>
      </w:r>
      <w:r>
        <w:rPr>
          <w:rFonts w:hint="eastAsia" w:ascii="仿宋_GB2312" w:hAnsi="仿宋_GB2312" w:eastAsia="仿宋_GB2312" w:cs="仿宋_GB2312"/>
          <w:sz w:val="32"/>
          <w:szCs w:val="32"/>
          <w:highlight w:val="none"/>
          <w:lang w:val="en-US"/>
        </w:rPr>
        <w:t>有效</w:t>
      </w:r>
      <w:r>
        <w:rPr>
          <w:rFonts w:hint="eastAsia" w:ascii="仿宋_GB2312" w:hAnsi="仿宋_GB2312" w:eastAsia="仿宋_GB2312" w:cs="仿宋_GB2312"/>
          <w:sz w:val="32"/>
          <w:szCs w:val="32"/>
          <w:highlight w:val="none"/>
        </w:rPr>
        <w:t>久期缺口</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资产现金流有效久期</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资产现金流的折现</w:t>
      </w:r>
      <w:r>
        <w:rPr>
          <w:rFonts w:hint="eastAsia" w:ascii="仿宋_GB2312" w:hAnsi="仿宋_GB2312" w:eastAsia="仿宋_GB2312" w:cs="仿宋_GB2312"/>
          <w:sz w:val="32"/>
          <w:szCs w:val="32"/>
          <w:highlight w:val="none"/>
          <w:lang w:eastAsia="zh-CN"/>
        </w:rPr>
        <w:t>值</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负债现金流流入有效久期</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负债现金流流入的折现值</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利率类衍生品买入合约的有效久期</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利率类衍生品买入合约的合约价值之和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利率类衍生品卖出合约的有效久期</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利率类衍生品卖出合约的合约价值之和</w:t>
      </w:r>
      <w:r>
        <w:rPr>
          <w:rFonts w:hint="eastAsia" w:ascii="仿宋_GB2312" w:hAnsi="仿宋_GB2312" w:eastAsia="仿宋_GB2312" w:cs="仿宋_GB2312"/>
          <w:sz w:val="32"/>
          <w:szCs w:val="32"/>
          <w:highlight w:val="none"/>
          <w:lang w:val="en-US" w:eastAsia="zh-CN"/>
        </w:rPr>
        <w:t>）</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负债现金流流出的折现值</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负债现金流流出有效久期</w:t>
      </w:r>
    </w:p>
    <w:p>
      <w:pPr>
        <w:pStyle w:val="3"/>
        <w:spacing w:beforeLines="0" w:afterLines="0" w:line="560" w:lineRule="exact"/>
        <w:ind w:left="-3" w:firstLine="643" w:firstLineChars="0"/>
        <w:rPr>
          <w:rFonts w:ascii="仿宋_GB2312"/>
          <w:bCs/>
          <w:highlight w:val="none"/>
          <w:lang w:val="en-GB"/>
        </w:rPr>
      </w:pPr>
      <w:r>
        <w:rPr>
          <w:rFonts w:hint="eastAsia" w:ascii="仿宋_GB2312"/>
          <w:bCs/>
          <w:highlight w:val="none"/>
          <w:lang w:val="en-GB"/>
        </w:rPr>
        <w:t>综合投资收益</w:t>
      </w:r>
      <w:r>
        <w:rPr>
          <w:rFonts w:hint="eastAsia" w:ascii="仿宋_GB2312"/>
          <w:bCs/>
          <w:highlight w:val="none"/>
          <w:lang w:val="en-GB" w:eastAsia="zh-CN"/>
        </w:rPr>
        <w:t>覆盖率</w:t>
      </w:r>
    </w:p>
    <w:p>
      <w:pPr>
        <w:widowControl/>
        <w:adjustRightInd w:val="0"/>
        <w:spacing w:beforeLines="0" w:afterLines="0" w:line="560" w:lineRule="exact"/>
        <w:ind w:firstLine="640" w:firstLineChars="200"/>
        <w:contextualSpacing/>
        <w:outlineLvl w:val="2"/>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rPr>
        <w:t>衡量</w:t>
      </w:r>
      <w:r>
        <w:rPr>
          <w:rFonts w:hint="eastAsia" w:ascii="仿宋_GB2312" w:hAnsi="仿宋_GB2312" w:eastAsia="仿宋_GB2312" w:cs="仿宋_GB2312"/>
          <w:sz w:val="32"/>
          <w:szCs w:val="32"/>
          <w:highlight w:val="none"/>
          <w:lang w:eastAsia="zh-CN"/>
        </w:rPr>
        <w:t>人身</w:t>
      </w:r>
      <w:r>
        <w:rPr>
          <w:rFonts w:hint="eastAsia" w:ascii="仿宋_GB2312" w:hAnsi="仿宋_GB2312" w:eastAsia="仿宋_GB2312" w:cs="仿宋_GB2312"/>
          <w:sz w:val="32"/>
          <w:szCs w:val="32"/>
          <w:highlight w:val="none"/>
        </w:rPr>
        <w:t>保险公司在较长期间的整体投资收益水平能否覆盖公司的整体业务成本，</w:t>
      </w:r>
      <w:r>
        <w:rPr>
          <w:rFonts w:hint="eastAsia" w:ascii="仿宋_GB2312" w:hAnsi="仿宋_GB2312" w:eastAsia="仿宋_GB2312" w:cs="仿宋_GB2312"/>
          <w:sz w:val="32"/>
          <w:szCs w:val="32"/>
          <w:highlight w:val="none"/>
          <w:lang w:val="en-GB"/>
        </w:rPr>
        <w:t>降低因短期市场波动</w:t>
      </w:r>
      <w:r>
        <w:rPr>
          <w:rFonts w:hint="eastAsia" w:ascii="仿宋_GB2312" w:hAnsi="仿宋_GB2312" w:eastAsia="仿宋_GB2312" w:cs="仿宋_GB2312"/>
          <w:sz w:val="32"/>
          <w:szCs w:val="32"/>
          <w:highlight w:val="none"/>
          <w:lang w:val="en-GB" w:eastAsia="zh-CN"/>
        </w:rPr>
        <w:t>带来的影响</w:t>
      </w:r>
      <w:r>
        <w:rPr>
          <w:rFonts w:hint="eastAsia" w:ascii="仿宋_GB2312" w:hAnsi="仿宋_GB2312" w:eastAsia="仿宋_GB2312" w:cs="仿宋_GB2312"/>
          <w:sz w:val="32"/>
          <w:szCs w:val="32"/>
          <w:highlight w:val="none"/>
          <w:lang w:val="en-GB"/>
        </w:rPr>
        <w:t>。</w:t>
      </w:r>
    </w:p>
    <w:p>
      <w:pPr>
        <w:widowControl/>
        <w:spacing w:beforeLines="0" w:afterLines="0" w:line="560" w:lineRule="exact"/>
        <w:ind w:firstLine="640"/>
        <w:rPr>
          <w:rFonts w:hint="eastAsia" w:ascii="仿宋_GB2312" w:hAnsi="仿宋_GB2312" w:eastAsia="仿宋_GB2312" w:cs="仿宋_GB2312"/>
          <w:szCs w:val="32"/>
          <w:highlight w:val="none"/>
          <w:lang w:eastAsia="zh-CN"/>
        </w:rPr>
      </w:pPr>
      <w:r>
        <w:rPr>
          <w:rFonts w:hint="eastAsia" w:ascii="仿宋_GB2312" w:hAnsi="仿宋_GB2312" w:eastAsia="仿宋_GB2312" w:cs="仿宋_GB2312"/>
          <w:szCs w:val="32"/>
          <w:highlight w:val="none"/>
        </w:rPr>
        <w:t>综合投资收益</w:t>
      </w:r>
      <w:r>
        <w:rPr>
          <w:rFonts w:hint="eastAsia" w:ascii="仿宋_GB2312" w:hAnsi="仿宋_GB2312" w:eastAsia="仿宋_GB2312" w:cs="仿宋_GB2312"/>
          <w:szCs w:val="32"/>
          <w:highlight w:val="none"/>
          <w:lang w:eastAsia="zh-CN"/>
        </w:rPr>
        <w:t>覆盖</w:t>
      </w:r>
      <w:r>
        <w:rPr>
          <w:rFonts w:hint="eastAsia" w:ascii="仿宋_GB2312" w:hAnsi="仿宋_GB2312" w:eastAsia="仿宋_GB2312" w:cs="仿宋_GB2312"/>
          <w:szCs w:val="32"/>
          <w:highlight w:val="none"/>
        </w:rPr>
        <w:t>率=</w:t>
      </w:r>
      <w:r>
        <w:rPr>
          <w:rFonts w:hint="eastAsia" w:ascii="仿宋_GB2312" w:hAnsi="仿宋_GB2312" w:eastAsia="仿宋_GB2312" w:cs="仿宋_GB2312"/>
          <w:szCs w:val="32"/>
          <w:highlight w:val="none"/>
          <w:lang w:eastAsia="zh-CN"/>
        </w:rPr>
        <w:t>（过去第一年</w:t>
      </w:r>
      <w:r>
        <w:rPr>
          <w:rFonts w:hint="eastAsia" w:ascii="仿宋_GB2312" w:hAnsi="仿宋_GB2312" w:eastAsia="仿宋_GB2312" w:cs="仿宋_GB2312"/>
          <w:szCs w:val="32"/>
          <w:highlight w:val="none"/>
        </w:rPr>
        <w:t>综合投资收益+</w:t>
      </w:r>
      <w:r>
        <w:rPr>
          <w:rFonts w:hint="eastAsia" w:ascii="仿宋_GB2312" w:hAnsi="仿宋_GB2312" w:eastAsia="仿宋_GB2312" w:cs="仿宋_GB2312"/>
          <w:szCs w:val="32"/>
          <w:highlight w:val="none"/>
          <w:lang w:eastAsia="zh-CN"/>
        </w:rPr>
        <w:t>过去第二年</w:t>
      </w:r>
      <w:r>
        <w:rPr>
          <w:rFonts w:hint="eastAsia" w:ascii="仿宋_GB2312" w:hAnsi="仿宋_GB2312" w:eastAsia="仿宋_GB2312" w:cs="仿宋_GB2312"/>
          <w:szCs w:val="32"/>
          <w:highlight w:val="none"/>
        </w:rPr>
        <w:t>综合投资收益+</w:t>
      </w:r>
      <w:r>
        <w:rPr>
          <w:rFonts w:hint="eastAsia" w:ascii="仿宋_GB2312" w:hAnsi="仿宋_GB2312" w:eastAsia="仿宋_GB2312" w:cs="仿宋_GB2312"/>
          <w:szCs w:val="32"/>
          <w:highlight w:val="none"/>
          <w:lang w:eastAsia="zh-CN"/>
        </w:rPr>
        <w:t>过去第三年</w:t>
      </w:r>
      <w:r>
        <w:rPr>
          <w:rFonts w:hint="eastAsia" w:ascii="仿宋_GB2312" w:hAnsi="仿宋_GB2312" w:eastAsia="仿宋_GB2312" w:cs="仿宋_GB2312"/>
          <w:szCs w:val="32"/>
          <w:highlight w:val="none"/>
        </w:rPr>
        <w:t>综合投资收益+</w:t>
      </w:r>
      <w:r>
        <w:rPr>
          <w:rFonts w:hint="eastAsia" w:ascii="仿宋_GB2312" w:hAnsi="仿宋_GB2312" w:eastAsia="仿宋_GB2312" w:cs="仿宋_GB2312"/>
          <w:szCs w:val="32"/>
          <w:highlight w:val="none"/>
          <w:lang w:eastAsia="zh-CN"/>
        </w:rPr>
        <w:t>过去第四年</w:t>
      </w:r>
      <w:r>
        <w:rPr>
          <w:rFonts w:hint="eastAsia" w:ascii="仿宋_GB2312" w:hAnsi="仿宋_GB2312" w:eastAsia="仿宋_GB2312" w:cs="仿宋_GB2312"/>
          <w:szCs w:val="32"/>
          <w:highlight w:val="none"/>
        </w:rPr>
        <w:t>综合投资收益+</w:t>
      </w:r>
      <w:r>
        <w:rPr>
          <w:rFonts w:hint="eastAsia" w:ascii="仿宋_GB2312" w:hAnsi="仿宋_GB2312" w:eastAsia="仿宋_GB2312" w:cs="仿宋_GB2312"/>
          <w:szCs w:val="32"/>
          <w:highlight w:val="none"/>
          <w:lang w:eastAsia="zh-CN"/>
        </w:rPr>
        <w:t>过去第五年</w:t>
      </w:r>
      <w:r>
        <w:rPr>
          <w:rFonts w:hint="eastAsia" w:ascii="仿宋_GB2312" w:hAnsi="仿宋_GB2312" w:eastAsia="仿宋_GB2312" w:cs="仿宋_GB2312"/>
          <w:szCs w:val="32"/>
          <w:highlight w:val="none"/>
        </w:rPr>
        <w:t>综合投资收益</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CN"/>
        </w:rPr>
        <w:t>（过去第一年负债资金成本</w:t>
      </w:r>
      <w:r>
        <w:rPr>
          <w:rFonts w:hint="eastAsia" w:ascii="仿宋_GB2312" w:hAnsi="仿宋_GB2312" w:eastAsia="仿宋_GB2312" w:cs="仿宋_GB2312"/>
          <w:szCs w:val="32"/>
          <w:highlight w:val="none"/>
          <w:lang w:val="en-US" w:eastAsia="zh-CN"/>
        </w:rPr>
        <w:t>+</w:t>
      </w:r>
      <w:r>
        <w:rPr>
          <w:rFonts w:hint="eastAsia" w:ascii="仿宋_GB2312" w:hAnsi="仿宋_GB2312" w:eastAsia="仿宋_GB2312" w:cs="仿宋_GB2312"/>
          <w:szCs w:val="32"/>
          <w:highlight w:val="none"/>
          <w:lang w:eastAsia="zh-CN"/>
        </w:rPr>
        <w:t>过去第二年负债资金成本</w:t>
      </w:r>
      <w:r>
        <w:rPr>
          <w:rFonts w:hint="eastAsia" w:ascii="仿宋_GB2312" w:hAnsi="仿宋_GB2312" w:eastAsia="仿宋_GB2312" w:cs="仿宋_GB2312"/>
          <w:szCs w:val="32"/>
          <w:highlight w:val="none"/>
          <w:lang w:val="en-US" w:eastAsia="zh-CN"/>
        </w:rPr>
        <w:t>+</w:t>
      </w:r>
      <w:r>
        <w:rPr>
          <w:rFonts w:hint="eastAsia" w:ascii="仿宋_GB2312" w:hAnsi="仿宋_GB2312" w:eastAsia="仿宋_GB2312" w:cs="仿宋_GB2312"/>
          <w:szCs w:val="32"/>
          <w:highlight w:val="none"/>
          <w:lang w:eastAsia="zh-CN"/>
        </w:rPr>
        <w:t>过去第三年负债资金成本</w:t>
      </w:r>
      <w:r>
        <w:rPr>
          <w:rFonts w:hint="eastAsia" w:ascii="仿宋_GB2312" w:hAnsi="仿宋_GB2312" w:eastAsia="仿宋_GB2312" w:cs="仿宋_GB2312"/>
          <w:szCs w:val="32"/>
          <w:highlight w:val="none"/>
          <w:lang w:val="en-US" w:eastAsia="zh-CN"/>
        </w:rPr>
        <w:t>+</w:t>
      </w:r>
      <w:r>
        <w:rPr>
          <w:rFonts w:hint="eastAsia" w:ascii="仿宋_GB2312" w:hAnsi="仿宋_GB2312" w:eastAsia="仿宋_GB2312" w:cs="仿宋_GB2312"/>
          <w:szCs w:val="32"/>
          <w:highlight w:val="none"/>
          <w:lang w:eastAsia="zh-CN"/>
        </w:rPr>
        <w:t>过去第四年负债资金成本</w:t>
      </w:r>
      <w:r>
        <w:rPr>
          <w:rFonts w:hint="eastAsia" w:ascii="仿宋_GB2312" w:hAnsi="仿宋_GB2312" w:eastAsia="仿宋_GB2312" w:cs="仿宋_GB2312"/>
          <w:szCs w:val="32"/>
          <w:highlight w:val="none"/>
          <w:lang w:val="en-US" w:eastAsia="zh-CN"/>
        </w:rPr>
        <w:t>+</w:t>
      </w:r>
      <w:r>
        <w:rPr>
          <w:rFonts w:hint="eastAsia" w:ascii="仿宋_GB2312" w:hAnsi="仿宋_GB2312" w:eastAsia="仿宋_GB2312" w:cs="仿宋_GB2312"/>
          <w:szCs w:val="32"/>
          <w:highlight w:val="none"/>
          <w:lang w:eastAsia="zh-CN"/>
        </w:rPr>
        <w:t>过去第五年负债资金成本）</w:t>
      </w:r>
    </w:p>
    <w:p>
      <w:pPr>
        <w:keepNext w:val="0"/>
        <w:keepLines w:val="0"/>
        <w:pageBreakBefore w:val="0"/>
        <w:widowControl/>
        <w:kinsoku/>
        <w:wordWrap/>
        <w:overflowPunct/>
        <w:topLinePunct w:val="0"/>
        <w:autoSpaceDE/>
        <w:autoSpaceDN/>
        <w:bidi w:val="0"/>
        <w:adjustRightInd/>
        <w:snapToGrid/>
        <w:spacing w:before="0" w:beforeLines="0" w:afterLines="0" w:line="560" w:lineRule="exact"/>
        <w:ind w:firstLine="64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eastAsia="zh-CN"/>
        </w:rPr>
        <w:t>其中，</w:t>
      </w:r>
      <w:r>
        <w:rPr>
          <w:rFonts w:hint="eastAsia" w:ascii="仿宋_GB2312" w:hAnsi="仿宋_GB2312" w:eastAsia="仿宋_GB2312" w:cs="仿宋_GB2312"/>
          <w:szCs w:val="32"/>
          <w:highlight w:val="none"/>
        </w:rPr>
        <w:t>综合投资收益</w:t>
      </w:r>
      <w:r>
        <w:rPr>
          <w:rFonts w:hint="eastAsia" w:ascii="仿宋_GB2312" w:hAnsi="仿宋_GB2312" w:eastAsia="仿宋_GB2312" w:cs="仿宋_GB2312"/>
          <w:szCs w:val="32"/>
          <w:highlight w:val="none"/>
          <w:lang w:val="en-US" w:eastAsia="zh-CN"/>
        </w:rPr>
        <w:t>=利息收入+投资收益+公允价值变动损益+其他投资损益+</w:t>
      </w:r>
      <w:r>
        <w:rPr>
          <w:rFonts w:hint="eastAsia" w:ascii="仿宋_GB2312" w:hAnsi="仿宋_GB2312" w:eastAsia="仿宋_GB2312" w:cs="仿宋_GB2312"/>
          <w:szCs w:val="32"/>
        </w:rPr>
        <w:t>FVOCI</w:t>
      </w:r>
      <w:r>
        <w:rPr>
          <w:rFonts w:hint="eastAsia" w:ascii="仿宋_GB2312" w:hAnsi="仿宋_GB2312" w:eastAsia="仿宋_GB2312" w:cs="仿宋_GB2312"/>
          <w:szCs w:val="32"/>
          <w:highlight w:val="none"/>
          <w:lang w:val="en-US" w:eastAsia="zh-CN"/>
        </w:rPr>
        <w:t>金融资产的公允价值变动净额+</w:t>
      </w:r>
      <w:r>
        <w:rPr>
          <w:rFonts w:hint="eastAsia" w:ascii="仿宋_GB2312" w:hAnsi="仿宋_GB2312" w:eastAsia="仿宋_GB2312" w:cs="仿宋_GB2312"/>
          <w:szCs w:val="32"/>
          <w:highlight w:val="none"/>
          <w:lang w:eastAsia="zh-CN"/>
        </w:rPr>
        <w:t>指定</w:t>
      </w:r>
      <w:r>
        <w:rPr>
          <w:rFonts w:hint="eastAsia" w:ascii="仿宋_GB2312" w:hAnsi="仿宋_GB2312" w:eastAsia="仿宋_GB2312" w:cs="仿宋_GB2312"/>
          <w:szCs w:val="32"/>
          <w:highlight w:val="none"/>
        </w:rPr>
        <w:t>为FVOCI的</w:t>
      </w:r>
      <w:r>
        <w:rPr>
          <w:rFonts w:hint="eastAsia" w:ascii="仿宋_GB2312" w:hAnsi="仿宋_GB2312" w:eastAsia="仿宋_GB2312" w:cs="仿宋_GB2312"/>
          <w:szCs w:val="32"/>
          <w:highlight w:val="none"/>
          <w:lang w:eastAsia="zh-CN"/>
        </w:rPr>
        <w:t>非交易性</w:t>
      </w:r>
      <w:r>
        <w:rPr>
          <w:rFonts w:hint="eastAsia" w:ascii="仿宋_GB2312" w:hAnsi="仿宋_GB2312" w:eastAsia="仿宋_GB2312" w:cs="仿宋_GB2312"/>
          <w:szCs w:val="32"/>
          <w:highlight w:val="none"/>
        </w:rPr>
        <w:t>权益工具</w:t>
      </w:r>
      <w:r>
        <w:rPr>
          <w:rFonts w:hint="eastAsia" w:ascii="仿宋_GB2312" w:hAnsi="仿宋_GB2312" w:eastAsia="仿宋_GB2312" w:cs="仿宋_GB2312"/>
          <w:szCs w:val="32"/>
          <w:highlight w:val="none"/>
          <w:lang w:eastAsia="zh-CN"/>
        </w:rPr>
        <w:t>投资</w:t>
      </w:r>
      <w:r>
        <w:rPr>
          <w:rFonts w:hint="eastAsia" w:ascii="仿宋_GB2312" w:hAnsi="仿宋_GB2312" w:eastAsia="仿宋_GB2312" w:cs="仿宋_GB2312"/>
          <w:szCs w:val="32"/>
          <w:highlight w:val="none"/>
        </w:rPr>
        <w:t>的</w:t>
      </w:r>
      <w:r>
        <w:rPr>
          <w:rFonts w:hint="eastAsia" w:ascii="仿宋_GB2312" w:hAnsi="仿宋_GB2312" w:eastAsia="仿宋_GB2312" w:cs="仿宋_GB2312"/>
          <w:szCs w:val="32"/>
          <w:highlight w:val="none"/>
          <w:lang w:eastAsia="zh-CN"/>
        </w:rPr>
        <w:t>处置损益</w:t>
      </w:r>
      <w:r>
        <w:rPr>
          <w:rFonts w:hint="eastAsia" w:ascii="仿宋_GB2312" w:hAnsi="仿宋_GB2312" w:eastAsia="仿宋_GB2312" w:cs="仿宋_GB2312"/>
          <w:szCs w:val="32"/>
          <w:highlight w:val="none"/>
          <w:lang w:val="en-US" w:eastAsia="zh-CN"/>
        </w:rPr>
        <w:t>-投资资产减值损失</w:t>
      </w:r>
      <w:bookmarkStart w:id="0" w:name="_GoBack"/>
      <w:bookmarkEnd w:id="0"/>
      <w:r>
        <w:rPr>
          <w:rFonts w:hint="eastAsia" w:ascii="仿宋_GB2312" w:hAnsi="仿宋_GB2312" w:eastAsia="仿宋_GB2312" w:cs="仿宋_GB2312"/>
          <w:szCs w:val="32"/>
          <w:highlight w:val="none"/>
          <w:lang w:val="en-US" w:eastAsia="zh-CN"/>
        </w:rPr>
        <w:t>-利息支出。</w:t>
      </w:r>
    </w:p>
    <w:p>
      <w:pPr>
        <w:spacing w:beforeLines="0" w:afterLines="0" w:line="560" w:lineRule="exact"/>
        <w:ind w:firstLine="640"/>
        <w:contextualSpacing/>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rPr>
        <w:t>负债资金成本反映公司当期</w:t>
      </w:r>
      <w:r>
        <w:rPr>
          <w:rFonts w:hint="eastAsia" w:ascii="仿宋_GB2312" w:hAnsi="仿宋_GB2312" w:eastAsia="仿宋_GB2312" w:cs="仿宋_GB2312"/>
          <w:szCs w:val="32"/>
          <w:highlight w:val="none"/>
          <w:lang w:val="en-GB" w:eastAsia="zh-CN"/>
        </w:rPr>
        <w:t>给予</w:t>
      </w:r>
      <w:r>
        <w:rPr>
          <w:rFonts w:hint="eastAsia" w:ascii="仿宋_GB2312" w:hAnsi="仿宋_GB2312" w:eastAsia="仿宋_GB2312" w:cs="仿宋_GB2312"/>
          <w:szCs w:val="32"/>
          <w:highlight w:val="none"/>
          <w:lang w:val="en-GB"/>
        </w:rPr>
        <w:t>客户</w:t>
      </w:r>
      <w:r>
        <w:rPr>
          <w:rFonts w:hint="eastAsia" w:ascii="仿宋_GB2312" w:hAnsi="仿宋_GB2312" w:eastAsia="仿宋_GB2312" w:cs="仿宋_GB2312"/>
          <w:szCs w:val="32"/>
          <w:highlight w:val="none"/>
        </w:rPr>
        <w:t>的</w:t>
      </w:r>
      <w:r>
        <w:rPr>
          <w:rFonts w:hint="eastAsia" w:ascii="仿宋_GB2312" w:hAnsi="仿宋_GB2312" w:eastAsia="仿宋_GB2312" w:cs="仿宋_GB2312"/>
          <w:szCs w:val="32"/>
          <w:highlight w:val="none"/>
          <w:lang w:val="en-GB"/>
        </w:rPr>
        <w:t>保证利益及非保证利益</w:t>
      </w:r>
      <w:r>
        <w:rPr>
          <w:rFonts w:hint="eastAsia" w:ascii="仿宋_GB2312" w:hAnsi="仿宋_GB2312" w:eastAsia="仿宋_GB2312" w:cs="仿宋_GB2312"/>
          <w:szCs w:val="32"/>
          <w:highlight w:val="none"/>
          <w:lang w:val="en-GB" w:eastAsia="zh-CN"/>
        </w:rPr>
        <w:t>。</w:t>
      </w:r>
      <w:r>
        <w:rPr>
          <w:rFonts w:hint="eastAsia" w:ascii="仿宋_GB2312" w:hAnsi="仿宋_GB2312" w:eastAsia="仿宋_GB2312" w:cs="仿宋_GB2312"/>
          <w:szCs w:val="32"/>
          <w:highlight w:val="none"/>
          <w:lang w:val="en-GB"/>
        </w:rPr>
        <w:t>传统账户的负债资金成本为</w:t>
      </w:r>
      <w:r>
        <w:rPr>
          <w:rFonts w:hint="eastAsia" w:ascii="仿宋_GB2312" w:hAnsi="仿宋_GB2312" w:eastAsia="仿宋_GB2312" w:cs="仿宋_GB2312"/>
          <w:szCs w:val="32"/>
          <w:highlight w:val="none"/>
          <w:lang w:val="en-GB" w:eastAsia="zh-CN"/>
        </w:rPr>
        <w:t>普通型寿险业务负债资金成本</w:t>
      </w:r>
      <w:r>
        <w:rPr>
          <w:rFonts w:hint="eastAsia" w:ascii="仿宋_GB2312" w:hAnsi="仿宋_GB2312" w:eastAsia="仿宋_GB2312" w:cs="仿宋_GB2312"/>
          <w:szCs w:val="32"/>
          <w:highlight w:val="none"/>
          <w:lang w:val="en-GB"/>
        </w:rPr>
        <w:t>与</w:t>
      </w:r>
      <w:r>
        <w:rPr>
          <w:rFonts w:hint="eastAsia" w:ascii="仿宋_GB2312" w:hAnsi="仿宋_GB2312" w:eastAsia="仿宋_GB2312" w:cs="仿宋_GB2312"/>
          <w:szCs w:val="32"/>
          <w:highlight w:val="none"/>
          <w:lang w:val="en-GB" w:eastAsia="zh-CN"/>
        </w:rPr>
        <w:t>普通型</w:t>
      </w:r>
      <w:r>
        <w:rPr>
          <w:rFonts w:hint="eastAsia" w:ascii="仿宋_GB2312" w:hAnsi="仿宋_GB2312" w:eastAsia="仿宋_GB2312" w:cs="仿宋_GB2312"/>
          <w:szCs w:val="32"/>
          <w:highlight w:val="none"/>
          <w:lang w:val="en-GB"/>
        </w:rPr>
        <w:t>非寿险业务负债资金成本之和</w:t>
      </w:r>
      <w:r>
        <w:rPr>
          <w:rFonts w:hint="eastAsia" w:ascii="仿宋_GB2312" w:hAnsi="仿宋_GB2312" w:eastAsia="仿宋_GB2312" w:cs="仿宋_GB2312"/>
          <w:szCs w:val="32"/>
          <w:highlight w:val="none"/>
          <w:lang w:val="en-GB" w:eastAsia="zh-CN"/>
        </w:rPr>
        <w:t>，其中，普通型寿险业务负债资金成本为其保险</w:t>
      </w:r>
      <w:r>
        <w:rPr>
          <w:rFonts w:hint="eastAsia" w:ascii="仿宋_GB2312" w:hAnsi="仿宋_GB2312" w:eastAsia="仿宋_GB2312" w:cs="仿宋_GB2312"/>
          <w:szCs w:val="32"/>
          <w:highlight w:val="none"/>
          <w:lang w:val="en-GB"/>
        </w:rPr>
        <w:t>产品预定利率对应成本</w:t>
      </w:r>
      <w:r>
        <w:rPr>
          <w:rFonts w:hint="eastAsia" w:ascii="仿宋_GB2312" w:hAnsi="仿宋_GB2312" w:eastAsia="仿宋_GB2312" w:cs="仿宋_GB2312"/>
          <w:szCs w:val="32"/>
          <w:highlight w:val="none"/>
          <w:lang w:val="en-GB" w:eastAsia="zh-CN"/>
        </w:rPr>
        <w:t>，普通型</w:t>
      </w:r>
      <w:r>
        <w:rPr>
          <w:rFonts w:hint="eastAsia" w:ascii="仿宋_GB2312" w:hAnsi="仿宋_GB2312" w:eastAsia="仿宋_GB2312" w:cs="仿宋_GB2312"/>
          <w:szCs w:val="32"/>
          <w:highlight w:val="none"/>
          <w:lang w:val="en-GB"/>
        </w:rPr>
        <w:t>非寿险业务负债资金成本=保险服务费用+承保财务损益</w:t>
      </w:r>
      <w:r>
        <w:rPr>
          <w:rFonts w:hint="eastAsia" w:ascii="仿宋_GB2312" w:hAnsi="仿宋_GB2312" w:eastAsia="仿宋_GB2312" w:cs="仿宋_GB2312"/>
          <w:szCs w:val="32"/>
          <w:highlight w:val="none"/>
          <w:lang w:val="en-US" w:eastAsia="zh-CN"/>
        </w:rPr>
        <w:t>-</w:t>
      </w:r>
      <w:r>
        <w:rPr>
          <w:rFonts w:hint="eastAsia" w:ascii="仿宋_GB2312" w:hAnsi="仿宋" w:eastAsia="仿宋_GB2312" w:cs="MS Mincho"/>
          <w:sz w:val="32"/>
          <w:szCs w:val="32"/>
          <w:highlight w:val="none"/>
          <w:lang w:val="en-US" w:eastAsia="zh-CN"/>
        </w:rPr>
        <w:t>保险服务收入</w:t>
      </w:r>
      <w:r>
        <w:rPr>
          <w:rFonts w:hint="eastAsia" w:ascii="仿宋_GB2312" w:hAnsi="仿宋_GB2312" w:eastAsia="仿宋_GB2312" w:cs="仿宋_GB2312"/>
          <w:szCs w:val="32"/>
          <w:highlight w:val="none"/>
          <w:lang w:val="en-GB"/>
        </w:rPr>
        <w:t>；分红账户的负债资金成本包含保证成本与保户红利；万能账户的负债资金成本为万能保险结算成本；普通账户负债资金成本为传统账户、分红账户、万能账户</w:t>
      </w:r>
      <w:r>
        <w:rPr>
          <w:rFonts w:hint="eastAsia" w:ascii="仿宋_GB2312" w:hAnsi="仿宋_GB2312" w:eastAsia="仿宋_GB2312" w:cs="仿宋_GB2312"/>
          <w:szCs w:val="32"/>
          <w:highlight w:val="none"/>
          <w:lang w:val="en-GB" w:eastAsia="zh-CN"/>
        </w:rPr>
        <w:t>的</w:t>
      </w:r>
      <w:r>
        <w:rPr>
          <w:rFonts w:hint="eastAsia" w:ascii="仿宋_GB2312" w:hAnsi="仿宋_GB2312" w:eastAsia="仿宋_GB2312" w:cs="仿宋_GB2312"/>
          <w:szCs w:val="32"/>
          <w:highlight w:val="none"/>
          <w:lang w:val="en-GB"/>
        </w:rPr>
        <w:t>负债资金成本之和。</w:t>
      </w:r>
    </w:p>
    <w:p>
      <w:pPr>
        <w:spacing w:beforeLines="0" w:afterLines="0" w:line="560" w:lineRule="exact"/>
        <w:ind w:firstLine="640"/>
        <w:contextualSpacing/>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在计算普通账户</w:t>
      </w:r>
      <w:r>
        <w:rPr>
          <w:rFonts w:hint="eastAsia" w:ascii="仿宋_GB2312" w:hAnsi="仿宋_GB2312" w:eastAsia="仿宋_GB2312" w:cs="仿宋_GB2312"/>
          <w:szCs w:val="32"/>
          <w:highlight w:val="none"/>
          <w:lang w:eastAsia="zh-CN"/>
        </w:rPr>
        <w:t>综合投资收益覆盖率</w:t>
      </w:r>
      <w:r>
        <w:rPr>
          <w:rFonts w:hint="eastAsia" w:ascii="仿宋_GB2312" w:hAnsi="仿宋_GB2312" w:eastAsia="仿宋_GB2312" w:cs="仿宋_GB2312"/>
          <w:szCs w:val="32"/>
          <w:highlight w:val="none"/>
        </w:rPr>
        <w:t>时，应当</w:t>
      </w:r>
      <w:r>
        <w:rPr>
          <w:rFonts w:hint="eastAsia" w:ascii="仿宋_GB2312" w:hAnsi="仿宋_GB2312" w:eastAsia="仿宋_GB2312" w:cs="仿宋_GB2312"/>
          <w:szCs w:val="32"/>
          <w:highlight w:val="none"/>
          <w:lang w:eastAsia="zh-CN"/>
        </w:rPr>
        <w:t>在普通账户综合投资收益中</w:t>
      </w:r>
      <w:r>
        <w:rPr>
          <w:rFonts w:hint="eastAsia" w:ascii="仿宋_GB2312" w:hAnsi="仿宋_GB2312" w:eastAsia="仿宋_GB2312" w:cs="仿宋_GB2312"/>
          <w:szCs w:val="32"/>
          <w:highlight w:val="none"/>
        </w:rPr>
        <w:t>扣除公司发行</w:t>
      </w:r>
      <w:r>
        <w:rPr>
          <w:rFonts w:hint="eastAsia" w:ascii="仿宋_GB2312" w:hAnsi="仿宋_GB2312" w:eastAsia="仿宋_GB2312" w:cs="仿宋_GB2312"/>
          <w:szCs w:val="32"/>
          <w:highlight w:val="none"/>
          <w:lang w:val="en-GB"/>
        </w:rPr>
        <w:t>次级债</w:t>
      </w:r>
      <w:r>
        <w:rPr>
          <w:rFonts w:hint="eastAsia" w:ascii="仿宋_GB2312" w:hAnsi="仿宋_GB2312" w:eastAsia="仿宋_GB2312" w:cs="仿宋_GB2312"/>
          <w:szCs w:val="32"/>
          <w:highlight w:val="none"/>
          <w:lang w:val="en-GB" w:eastAsia="zh-CN"/>
        </w:rPr>
        <w:t>、</w:t>
      </w:r>
      <w:r>
        <w:rPr>
          <w:rFonts w:hint="eastAsia" w:ascii="仿宋_GB2312" w:hAnsi="仿宋_GB2312" w:eastAsia="仿宋_GB2312" w:cs="仿宋_GB2312"/>
          <w:szCs w:val="32"/>
          <w:highlight w:val="none"/>
          <w:lang w:val="en-GB"/>
        </w:rPr>
        <w:t>资本补充债</w:t>
      </w:r>
      <w:r>
        <w:rPr>
          <w:rFonts w:hint="eastAsia" w:ascii="仿宋_GB2312" w:hAnsi="仿宋_GB2312" w:eastAsia="仿宋_GB2312" w:cs="仿宋_GB2312"/>
          <w:szCs w:val="32"/>
          <w:highlight w:val="none"/>
          <w:lang w:val="en-US" w:eastAsia="zh-CN"/>
        </w:rPr>
        <w:t>和无固定期限资本债账户</w:t>
      </w:r>
      <w:r>
        <w:rPr>
          <w:rFonts w:hint="eastAsia" w:ascii="仿宋_GB2312" w:hAnsi="仿宋_GB2312" w:eastAsia="仿宋_GB2312" w:cs="仿宋_GB2312"/>
          <w:szCs w:val="32"/>
          <w:highlight w:val="none"/>
          <w:lang w:val="en-GB"/>
        </w:rPr>
        <w:t>的利息</w:t>
      </w:r>
      <w:r>
        <w:rPr>
          <w:rFonts w:hint="eastAsia" w:ascii="仿宋_GB2312" w:hAnsi="仿宋_GB2312" w:eastAsia="仿宋_GB2312" w:cs="仿宋_GB2312"/>
          <w:szCs w:val="32"/>
          <w:highlight w:val="none"/>
        </w:rPr>
        <w:t>支出。</w:t>
      </w:r>
    </w:p>
    <w:p>
      <w:pPr>
        <w:pStyle w:val="3"/>
        <w:numPr>
          <w:ilvl w:val="-1"/>
          <w:numId w:val="0"/>
        </w:numPr>
        <w:spacing w:beforeLines="0" w:afterLines="0" w:line="560" w:lineRule="exact"/>
        <w:ind w:left="-3" w:firstLine="643" w:firstLineChars="200"/>
        <w:rPr>
          <w:rFonts w:hint="eastAsia" w:ascii="仿宋_GB2312" w:hAnsi="仿宋_GB2312" w:eastAsia="仿宋_GB2312" w:cs="仿宋_GB2312"/>
          <w:bCs/>
          <w:highlight w:val="none"/>
          <w:lang w:val="en-GB" w:eastAsia="zh-CN"/>
        </w:rPr>
      </w:pPr>
      <w:r>
        <w:rPr>
          <w:rFonts w:hint="eastAsia" w:ascii="仿宋_GB2312" w:hAnsi="仿宋_GB2312" w:cs="仿宋_GB2312"/>
          <w:bCs/>
          <w:highlight w:val="none"/>
          <w:lang w:val="en-GB" w:eastAsia="zh-CN"/>
        </w:rPr>
        <w:t>（三）</w:t>
      </w:r>
      <w:r>
        <w:rPr>
          <w:rFonts w:hint="eastAsia" w:ascii="仿宋_GB2312" w:hAnsi="仿宋_GB2312" w:cs="仿宋_GB2312"/>
          <w:bCs/>
          <w:highlight w:val="none"/>
          <w:lang w:val="en-GB"/>
        </w:rPr>
        <w:t>净投资收益</w:t>
      </w:r>
      <w:r>
        <w:rPr>
          <w:rFonts w:hint="eastAsia" w:ascii="仿宋_GB2312" w:hAnsi="仿宋_GB2312" w:cs="仿宋_GB2312"/>
          <w:bCs/>
          <w:highlight w:val="none"/>
          <w:lang w:val="en-GB" w:eastAsia="zh-CN"/>
        </w:rPr>
        <w:t>覆盖率</w:t>
      </w:r>
    </w:p>
    <w:p>
      <w:pPr>
        <w:spacing w:beforeLines="0" w:afterLines="0" w:line="560" w:lineRule="exact"/>
        <w:ind w:firstLine="640"/>
        <w:rPr>
          <w:rFonts w:hint="eastAsia" w:ascii="仿宋_GB2312" w:hAnsi="仿宋_GB2312" w:eastAsia="仿宋_GB2312" w:cs="仿宋_GB2312"/>
          <w:szCs w:val="32"/>
          <w:highlight w:val="none"/>
          <w:lang w:val="en-GB" w:eastAsia="zh-CN"/>
        </w:rPr>
      </w:pPr>
      <w:r>
        <w:rPr>
          <w:rFonts w:hint="eastAsia" w:ascii="仿宋_GB2312" w:hAnsi="仿宋_GB2312" w:eastAsia="仿宋_GB2312" w:cs="仿宋_GB2312"/>
          <w:szCs w:val="32"/>
          <w:highlight w:val="none"/>
          <w:lang w:eastAsia="zh-CN"/>
        </w:rPr>
        <w:t>衡量</w:t>
      </w:r>
      <w:r>
        <w:rPr>
          <w:rFonts w:hint="eastAsia" w:ascii="仿宋_GB2312" w:hAnsi="仿宋_GB2312" w:eastAsia="仿宋_GB2312" w:cs="仿宋_GB2312"/>
          <w:szCs w:val="32"/>
          <w:highlight w:val="none"/>
        </w:rPr>
        <w:t>保险公司投资收益</w:t>
      </w:r>
      <w:r>
        <w:rPr>
          <w:rFonts w:hint="eastAsia" w:ascii="仿宋_GB2312" w:hAnsi="仿宋_GB2312" w:eastAsia="仿宋_GB2312" w:cs="仿宋_GB2312"/>
          <w:szCs w:val="32"/>
          <w:highlight w:val="none"/>
          <w:lang w:eastAsia="zh-CN"/>
        </w:rPr>
        <w:t>中较为</w:t>
      </w:r>
      <w:r>
        <w:rPr>
          <w:rFonts w:hint="eastAsia" w:ascii="仿宋_GB2312" w:hAnsi="仿宋_GB2312" w:eastAsia="仿宋_GB2312" w:cs="仿宋_GB2312"/>
          <w:szCs w:val="32"/>
          <w:highlight w:val="none"/>
        </w:rPr>
        <w:t>稳定的</w:t>
      </w:r>
      <w:r>
        <w:rPr>
          <w:rFonts w:hint="eastAsia" w:ascii="仿宋_GB2312" w:hAnsi="仿宋_GB2312" w:eastAsia="仿宋_GB2312" w:cs="仿宋_GB2312"/>
          <w:szCs w:val="32"/>
          <w:highlight w:val="none"/>
          <w:lang w:eastAsia="zh-CN"/>
        </w:rPr>
        <w:t>部分</w:t>
      </w:r>
      <w:r>
        <w:rPr>
          <w:rFonts w:hint="eastAsia" w:ascii="仿宋_GB2312" w:hAnsi="仿宋_GB2312" w:eastAsia="仿宋_GB2312" w:cs="仿宋_GB2312"/>
          <w:szCs w:val="32"/>
          <w:highlight w:val="none"/>
        </w:rPr>
        <w:t>是否能够满足</w:t>
      </w:r>
      <w:r>
        <w:rPr>
          <w:rFonts w:hint="eastAsia" w:ascii="仿宋_GB2312" w:hAnsi="仿宋_GB2312" w:eastAsia="仿宋_GB2312" w:cs="仿宋_GB2312"/>
          <w:szCs w:val="32"/>
          <w:highlight w:val="none"/>
          <w:lang w:eastAsia="zh-CN"/>
        </w:rPr>
        <w:t>公司给予客户的保证利益</w:t>
      </w:r>
      <w:r>
        <w:rPr>
          <w:rFonts w:hint="eastAsia" w:ascii="仿宋_GB2312" w:hAnsi="仿宋_GB2312" w:eastAsia="仿宋_GB2312" w:cs="仿宋_GB2312"/>
          <w:szCs w:val="32"/>
          <w:highlight w:val="none"/>
        </w:rPr>
        <w:t>要求，反映公司</w:t>
      </w:r>
      <w:r>
        <w:rPr>
          <w:rFonts w:hint="eastAsia" w:ascii="仿宋_GB2312" w:hAnsi="仿宋_GB2312" w:eastAsia="仿宋_GB2312" w:cs="仿宋_GB2312"/>
          <w:szCs w:val="32"/>
          <w:highlight w:val="none"/>
          <w:lang w:eastAsia="zh-CN"/>
        </w:rPr>
        <w:t>相对刚性的</w:t>
      </w:r>
      <w:r>
        <w:rPr>
          <w:rFonts w:hint="eastAsia" w:ascii="仿宋_GB2312" w:hAnsi="仿宋_GB2312" w:eastAsia="仿宋_GB2312" w:cs="仿宋_GB2312"/>
          <w:szCs w:val="32"/>
          <w:highlight w:val="none"/>
        </w:rPr>
        <w:t>成本收益匹配情况</w:t>
      </w:r>
      <w:r>
        <w:rPr>
          <w:rFonts w:hint="eastAsia" w:ascii="仿宋_GB2312" w:hAnsi="仿宋_GB2312" w:eastAsia="仿宋_GB2312" w:cs="仿宋_GB2312"/>
          <w:szCs w:val="32"/>
          <w:highlight w:val="none"/>
          <w:lang w:val="en-GB"/>
        </w:rPr>
        <w:t>。</w:t>
      </w:r>
    </w:p>
    <w:p>
      <w:pPr>
        <w:spacing w:beforeLines="0" w:afterLines="0" w:line="560" w:lineRule="exact"/>
        <w:ind w:firstLine="640"/>
        <w:rPr>
          <w:rFonts w:hint="eastAsia" w:ascii="仿宋_GB2312" w:hAnsi="仿宋_GB2312" w:eastAsia="仿宋_GB2312" w:cs="仿宋_GB2312"/>
          <w:szCs w:val="32"/>
          <w:highlight w:val="none"/>
          <w:lang w:val="en-US" w:eastAsia="zh-CN"/>
        </w:rPr>
      </w:pPr>
      <w:r>
        <w:rPr>
          <w:rFonts w:hint="eastAsia" w:ascii="仿宋_GB2312" w:hAnsi="仿宋_GB2312" w:eastAsia="仿宋_GB2312" w:cs="仿宋_GB2312"/>
          <w:szCs w:val="32"/>
          <w:highlight w:val="none"/>
          <w:lang w:val="en-GB"/>
        </w:rPr>
        <w:t>净投资收益</w:t>
      </w:r>
      <w:r>
        <w:rPr>
          <w:rFonts w:hint="eastAsia" w:ascii="仿宋_GB2312" w:hAnsi="仿宋_GB2312" w:eastAsia="仿宋_GB2312" w:cs="仿宋_GB2312"/>
          <w:szCs w:val="32"/>
          <w:highlight w:val="none"/>
          <w:lang w:val="en-GB" w:eastAsia="zh-CN"/>
        </w:rPr>
        <w:t>覆盖率</w:t>
      </w:r>
      <w:r>
        <w:rPr>
          <w:rFonts w:hint="eastAsia" w:ascii="仿宋_GB2312" w:hAnsi="仿宋_GB2312" w:eastAsia="仿宋_GB2312" w:cs="仿宋_GB2312"/>
          <w:szCs w:val="32"/>
          <w:highlight w:val="none"/>
          <w:lang w:val="en-GB"/>
        </w:rPr>
        <w:t>=过去</w:t>
      </w:r>
      <w:r>
        <w:rPr>
          <w:rFonts w:hint="eastAsia" w:ascii="仿宋_GB2312" w:hAnsi="仿宋_GB2312" w:eastAsia="仿宋_GB2312" w:cs="仿宋_GB2312"/>
          <w:szCs w:val="32"/>
          <w:highlight w:val="none"/>
          <w:lang w:val="en-GB" w:eastAsia="zh-CN"/>
        </w:rPr>
        <w:t>三年</w:t>
      </w:r>
      <w:r>
        <w:rPr>
          <w:rFonts w:hint="eastAsia" w:ascii="仿宋_GB2312" w:hAnsi="仿宋_GB2312" w:eastAsia="仿宋_GB2312" w:cs="仿宋_GB2312"/>
          <w:szCs w:val="32"/>
          <w:highlight w:val="none"/>
          <w:lang w:val="en-GB"/>
        </w:rPr>
        <w:t>净投资收益÷过去</w:t>
      </w:r>
      <w:r>
        <w:rPr>
          <w:rFonts w:hint="eastAsia" w:ascii="仿宋_GB2312" w:hAnsi="仿宋_GB2312" w:eastAsia="仿宋_GB2312" w:cs="仿宋_GB2312"/>
          <w:szCs w:val="32"/>
          <w:highlight w:val="none"/>
          <w:lang w:val="en-GB" w:eastAsia="zh-CN"/>
        </w:rPr>
        <w:t>三</w:t>
      </w:r>
      <w:r>
        <w:rPr>
          <w:rFonts w:hint="eastAsia" w:ascii="仿宋_GB2312" w:hAnsi="仿宋_GB2312" w:eastAsia="仿宋_GB2312" w:cs="仿宋_GB2312"/>
          <w:szCs w:val="32"/>
          <w:highlight w:val="none"/>
          <w:lang w:val="en-GB"/>
        </w:rPr>
        <w:t>年负债保证成本</w:t>
      </w:r>
    </w:p>
    <w:p>
      <w:pPr>
        <w:spacing w:beforeLines="0" w:afterLines="0" w:line="56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eastAsia="zh-CN"/>
        </w:rPr>
        <w:t>其中，</w:t>
      </w:r>
      <w:r>
        <w:rPr>
          <w:rFonts w:hint="eastAsia" w:ascii="仿宋_GB2312" w:hAnsi="仿宋_GB2312" w:eastAsia="仿宋_GB2312" w:cs="仿宋_GB2312"/>
          <w:szCs w:val="32"/>
          <w:highlight w:val="none"/>
        </w:rPr>
        <w:t>净投资收益率反映公司投资收益中包括</w:t>
      </w:r>
      <w:r>
        <w:rPr>
          <w:rFonts w:hint="eastAsia" w:ascii="仿宋_GB2312" w:hAnsi="仿宋_GB2312" w:eastAsia="仿宋_GB2312" w:cs="仿宋_GB2312"/>
          <w:szCs w:val="32"/>
          <w:highlight w:val="none"/>
          <w:lang w:val="en-GB"/>
        </w:rPr>
        <w:t>利息收入、股息红利收入、投资性房地产租金收入</w:t>
      </w:r>
      <w:r>
        <w:rPr>
          <w:rFonts w:hint="eastAsia" w:ascii="仿宋_GB2312" w:hAnsi="仿宋_GB2312" w:eastAsia="仿宋_GB2312" w:cs="仿宋_GB2312"/>
          <w:szCs w:val="32"/>
          <w:highlight w:val="none"/>
        </w:rPr>
        <w:t>等</w:t>
      </w:r>
      <w:r>
        <w:rPr>
          <w:rFonts w:hint="eastAsia" w:ascii="仿宋_GB2312" w:hAnsi="仿宋_GB2312" w:eastAsia="仿宋_GB2312" w:cs="仿宋_GB2312"/>
          <w:szCs w:val="32"/>
          <w:highlight w:val="none"/>
          <w:lang w:eastAsia="zh-CN"/>
        </w:rPr>
        <w:t>投资收益中较为稳定的</w:t>
      </w:r>
      <w:r>
        <w:rPr>
          <w:rFonts w:hint="eastAsia" w:ascii="仿宋_GB2312" w:hAnsi="仿宋_GB2312" w:eastAsia="仿宋_GB2312" w:cs="仿宋_GB2312"/>
          <w:szCs w:val="32"/>
          <w:highlight w:val="none"/>
        </w:rPr>
        <w:t>部分。</w:t>
      </w:r>
    </w:p>
    <w:p>
      <w:pPr>
        <w:spacing w:beforeLines="0" w:afterLines="0" w:line="560" w:lineRule="exact"/>
        <w:ind w:firstLine="640"/>
        <w:contextualSpacing/>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负债保证成本反映公司当期</w:t>
      </w:r>
      <w:r>
        <w:rPr>
          <w:rFonts w:hint="eastAsia" w:ascii="仿宋_GB2312" w:hAnsi="仿宋_GB2312" w:eastAsia="仿宋_GB2312" w:cs="仿宋_GB2312"/>
          <w:szCs w:val="32"/>
          <w:highlight w:val="none"/>
          <w:lang w:val="en-GB" w:eastAsia="zh-CN"/>
        </w:rPr>
        <w:t>给予</w:t>
      </w:r>
      <w:r>
        <w:rPr>
          <w:rFonts w:hint="eastAsia" w:ascii="仿宋_GB2312" w:hAnsi="仿宋_GB2312" w:eastAsia="仿宋_GB2312" w:cs="仿宋_GB2312"/>
          <w:szCs w:val="32"/>
          <w:highlight w:val="none"/>
          <w:lang w:val="en-GB"/>
        </w:rPr>
        <w:t>客户的保证利益。传统账户保证成本</w:t>
      </w:r>
      <w:r>
        <w:rPr>
          <w:rFonts w:hint="eastAsia" w:ascii="仿宋_GB2312" w:hAnsi="仿宋_GB2312" w:eastAsia="仿宋_GB2312" w:cs="仿宋_GB2312"/>
          <w:szCs w:val="32"/>
          <w:highlight w:val="none"/>
          <w:lang w:val="en-GB" w:eastAsia="zh-CN"/>
        </w:rPr>
        <w:t>为普通型寿险业务保证成本与普通型</w:t>
      </w:r>
      <w:r>
        <w:rPr>
          <w:rFonts w:hint="eastAsia" w:ascii="仿宋_GB2312" w:hAnsi="仿宋_GB2312" w:eastAsia="仿宋_GB2312" w:cs="仿宋_GB2312"/>
          <w:szCs w:val="32"/>
          <w:highlight w:val="none"/>
          <w:lang w:val="en-GB"/>
        </w:rPr>
        <w:t>非寿险业务</w:t>
      </w:r>
      <w:r>
        <w:rPr>
          <w:rFonts w:hint="eastAsia" w:ascii="仿宋_GB2312" w:hAnsi="仿宋_GB2312" w:eastAsia="仿宋_GB2312" w:cs="仿宋_GB2312"/>
          <w:szCs w:val="32"/>
          <w:highlight w:val="none"/>
          <w:lang w:val="en-GB" w:eastAsia="zh-CN"/>
        </w:rPr>
        <w:t>保证成本之和，其中，普通型寿险业务保证成本为其保险</w:t>
      </w:r>
      <w:r>
        <w:rPr>
          <w:rFonts w:hint="eastAsia" w:ascii="仿宋_GB2312" w:hAnsi="仿宋_GB2312" w:eastAsia="仿宋_GB2312" w:cs="仿宋_GB2312"/>
          <w:szCs w:val="32"/>
          <w:highlight w:val="none"/>
          <w:lang w:val="en-GB"/>
        </w:rPr>
        <w:t>产品预定利率对应成本</w:t>
      </w:r>
      <w:r>
        <w:rPr>
          <w:rFonts w:hint="eastAsia" w:ascii="仿宋_GB2312" w:hAnsi="仿宋_GB2312" w:eastAsia="仿宋_GB2312" w:cs="仿宋_GB2312"/>
          <w:szCs w:val="32"/>
          <w:highlight w:val="none"/>
          <w:lang w:val="en-GB" w:eastAsia="zh-CN"/>
        </w:rPr>
        <w:t>，</w:t>
      </w:r>
      <w:r>
        <w:rPr>
          <w:rFonts w:hint="eastAsia" w:ascii="仿宋_GB2312" w:hAnsi="仿宋_GB2312" w:eastAsia="仿宋_GB2312" w:cs="仿宋_GB2312"/>
          <w:szCs w:val="32"/>
          <w:highlight w:val="none"/>
          <w:lang w:val="en-GB"/>
        </w:rPr>
        <w:t>普通型非寿险业务</w:t>
      </w:r>
      <w:r>
        <w:rPr>
          <w:rFonts w:hint="eastAsia" w:ascii="仿宋_GB2312" w:hAnsi="仿宋_GB2312" w:eastAsia="仿宋_GB2312" w:cs="仿宋_GB2312"/>
          <w:szCs w:val="32"/>
          <w:highlight w:val="none"/>
          <w:lang w:val="en-GB" w:eastAsia="zh-CN"/>
        </w:rPr>
        <w:t>保证成本取其负债资金成本与零两者的较大值</w:t>
      </w:r>
      <w:r>
        <w:rPr>
          <w:rFonts w:hint="eastAsia" w:ascii="仿宋_GB2312" w:hAnsi="仿宋_GB2312" w:eastAsia="仿宋_GB2312" w:cs="仿宋_GB2312"/>
          <w:szCs w:val="32"/>
          <w:highlight w:val="none"/>
          <w:lang w:val="en-GB"/>
        </w:rPr>
        <w:t>；分红账户保证成本为该类型产品预定利率对应的成本；万能账户保证成本为该类型产品说明书中规定最低保证利率对应的成本。普通账户负债</w:t>
      </w:r>
      <w:r>
        <w:rPr>
          <w:rFonts w:hint="eastAsia" w:ascii="仿宋_GB2312" w:hAnsi="仿宋_GB2312" w:eastAsia="仿宋_GB2312" w:cs="仿宋_GB2312"/>
          <w:szCs w:val="32"/>
          <w:highlight w:val="none"/>
          <w:lang w:val="en-GB" w:eastAsia="zh-CN"/>
        </w:rPr>
        <w:t>保证</w:t>
      </w:r>
      <w:r>
        <w:rPr>
          <w:rFonts w:hint="eastAsia" w:ascii="仿宋_GB2312" w:hAnsi="仿宋_GB2312" w:eastAsia="仿宋_GB2312" w:cs="仿宋_GB2312"/>
          <w:szCs w:val="32"/>
          <w:highlight w:val="none"/>
          <w:lang w:val="en-GB"/>
        </w:rPr>
        <w:t>成本为传统账户、分红账户、万能账户</w:t>
      </w:r>
      <w:r>
        <w:rPr>
          <w:rFonts w:hint="eastAsia" w:ascii="仿宋_GB2312" w:hAnsi="仿宋_GB2312" w:eastAsia="仿宋_GB2312" w:cs="仿宋_GB2312"/>
          <w:szCs w:val="32"/>
          <w:highlight w:val="none"/>
          <w:lang w:val="en-GB" w:eastAsia="zh-CN"/>
        </w:rPr>
        <w:t>的</w:t>
      </w:r>
      <w:r>
        <w:rPr>
          <w:rFonts w:hint="eastAsia" w:ascii="仿宋_GB2312" w:hAnsi="仿宋_GB2312" w:eastAsia="仿宋_GB2312" w:cs="仿宋_GB2312"/>
          <w:szCs w:val="32"/>
          <w:highlight w:val="none"/>
          <w:lang w:val="en-GB"/>
        </w:rPr>
        <w:t>负债</w:t>
      </w:r>
      <w:r>
        <w:rPr>
          <w:rFonts w:hint="eastAsia" w:ascii="仿宋_GB2312" w:hAnsi="仿宋_GB2312" w:eastAsia="仿宋_GB2312" w:cs="仿宋_GB2312"/>
          <w:szCs w:val="32"/>
          <w:highlight w:val="none"/>
          <w:lang w:val="en-GB" w:eastAsia="zh-CN"/>
        </w:rPr>
        <w:t>保证</w:t>
      </w:r>
      <w:r>
        <w:rPr>
          <w:rFonts w:hint="eastAsia" w:ascii="仿宋_GB2312" w:hAnsi="仿宋_GB2312" w:eastAsia="仿宋_GB2312" w:cs="仿宋_GB2312"/>
          <w:szCs w:val="32"/>
          <w:highlight w:val="none"/>
          <w:lang w:val="en-GB"/>
        </w:rPr>
        <w:t>成本之和。</w:t>
      </w:r>
    </w:p>
    <w:p>
      <w:pPr>
        <w:spacing w:beforeLines="0" w:afterLines="0" w:line="560" w:lineRule="exact"/>
        <w:ind w:firstLine="640"/>
        <w:contextualSpacing/>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Cs w:val="32"/>
          <w:highlight w:val="none"/>
        </w:rPr>
        <w:t>在计算普通账户</w:t>
      </w:r>
      <w:r>
        <w:rPr>
          <w:rFonts w:hint="eastAsia" w:ascii="仿宋_GB2312" w:hAnsi="仿宋_GB2312" w:eastAsia="仿宋_GB2312" w:cs="仿宋_GB2312"/>
          <w:szCs w:val="32"/>
          <w:highlight w:val="none"/>
          <w:lang w:val="en-GB"/>
        </w:rPr>
        <w:t>净投资收益</w:t>
      </w:r>
      <w:r>
        <w:rPr>
          <w:rFonts w:hint="eastAsia" w:ascii="仿宋_GB2312" w:hAnsi="仿宋_GB2312" w:eastAsia="仿宋_GB2312" w:cs="仿宋_GB2312"/>
          <w:szCs w:val="32"/>
          <w:highlight w:val="none"/>
          <w:lang w:eastAsia="zh-CN"/>
        </w:rPr>
        <w:t>覆盖率</w:t>
      </w:r>
      <w:r>
        <w:rPr>
          <w:rFonts w:hint="eastAsia" w:ascii="仿宋_GB2312" w:hAnsi="仿宋_GB2312" w:eastAsia="仿宋_GB2312" w:cs="仿宋_GB2312"/>
          <w:szCs w:val="32"/>
          <w:highlight w:val="none"/>
        </w:rPr>
        <w:t>时，应当</w:t>
      </w:r>
      <w:r>
        <w:rPr>
          <w:rFonts w:hint="eastAsia" w:ascii="仿宋_GB2312" w:hAnsi="仿宋_GB2312" w:eastAsia="仿宋_GB2312" w:cs="仿宋_GB2312"/>
          <w:szCs w:val="32"/>
          <w:highlight w:val="none"/>
          <w:lang w:eastAsia="zh-CN"/>
        </w:rPr>
        <w:t>在普通账户净投资收益中</w:t>
      </w:r>
      <w:r>
        <w:rPr>
          <w:rFonts w:hint="eastAsia" w:ascii="仿宋_GB2312" w:hAnsi="仿宋_GB2312" w:eastAsia="仿宋_GB2312" w:cs="仿宋_GB2312"/>
          <w:szCs w:val="32"/>
          <w:highlight w:val="none"/>
        </w:rPr>
        <w:t>扣除公司发行</w:t>
      </w:r>
      <w:r>
        <w:rPr>
          <w:rFonts w:hint="eastAsia" w:ascii="仿宋_GB2312" w:hAnsi="仿宋_GB2312" w:eastAsia="仿宋_GB2312" w:cs="仿宋_GB2312"/>
          <w:szCs w:val="32"/>
          <w:highlight w:val="none"/>
          <w:lang w:val="en-GB"/>
        </w:rPr>
        <w:t>次级债</w:t>
      </w:r>
      <w:r>
        <w:rPr>
          <w:rFonts w:hint="eastAsia" w:ascii="仿宋_GB2312" w:hAnsi="仿宋_GB2312" w:eastAsia="仿宋_GB2312" w:cs="仿宋_GB2312"/>
          <w:szCs w:val="32"/>
          <w:highlight w:val="none"/>
          <w:lang w:val="en-GB" w:eastAsia="zh-CN"/>
        </w:rPr>
        <w:t>、</w:t>
      </w:r>
      <w:r>
        <w:rPr>
          <w:rFonts w:hint="eastAsia" w:ascii="仿宋_GB2312" w:hAnsi="仿宋_GB2312" w:eastAsia="仿宋_GB2312" w:cs="仿宋_GB2312"/>
          <w:szCs w:val="32"/>
          <w:highlight w:val="none"/>
          <w:lang w:val="en-GB"/>
        </w:rPr>
        <w:t>资本补充债</w:t>
      </w:r>
      <w:r>
        <w:rPr>
          <w:rFonts w:hint="eastAsia" w:ascii="仿宋_GB2312" w:hAnsi="仿宋_GB2312" w:eastAsia="仿宋_GB2312" w:cs="仿宋_GB2312"/>
          <w:szCs w:val="32"/>
          <w:highlight w:val="none"/>
          <w:lang w:val="en-US" w:eastAsia="zh-CN"/>
        </w:rPr>
        <w:t>和无固定期限资本债账户</w:t>
      </w:r>
      <w:r>
        <w:rPr>
          <w:rFonts w:hint="eastAsia" w:ascii="仿宋_GB2312" w:hAnsi="仿宋_GB2312" w:eastAsia="仿宋_GB2312" w:cs="仿宋_GB2312"/>
          <w:szCs w:val="32"/>
          <w:highlight w:val="none"/>
          <w:lang w:val="en-GB"/>
        </w:rPr>
        <w:t>的利息</w:t>
      </w:r>
      <w:r>
        <w:rPr>
          <w:rFonts w:hint="eastAsia" w:ascii="仿宋_GB2312" w:hAnsi="仿宋_GB2312" w:eastAsia="仿宋_GB2312" w:cs="仿宋_GB2312"/>
          <w:szCs w:val="32"/>
          <w:highlight w:val="none"/>
        </w:rPr>
        <w:t>支出。</w:t>
      </w:r>
    </w:p>
    <w:p>
      <w:pPr>
        <w:pStyle w:val="3"/>
        <w:numPr>
          <w:ilvl w:val="0"/>
          <w:numId w:val="0"/>
        </w:numPr>
        <w:spacing w:beforeLines="0" w:afterLines="0" w:line="560" w:lineRule="exact"/>
        <w:ind w:left="640" w:leftChars="0"/>
        <w:rPr>
          <w:rFonts w:hint="eastAsia" w:ascii="仿宋_GB2312" w:hAnsi="仿宋_GB2312" w:cs="仿宋_GB2312"/>
          <w:bCs/>
          <w:highlight w:val="none"/>
          <w:lang w:val="en-GB"/>
        </w:rPr>
      </w:pPr>
      <w:r>
        <w:rPr>
          <w:rFonts w:hint="eastAsia" w:ascii="仿宋_GB2312" w:hAnsi="仿宋_GB2312" w:cs="仿宋_GB2312"/>
          <w:bCs/>
          <w:highlight w:val="none"/>
          <w:lang w:val="en-GB" w:eastAsia="zh-CN"/>
        </w:rPr>
        <w:t>（四）压力情景下</w:t>
      </w:r>
      <w:r>
        <w:rPr>
          <w:rFonts w:hint="eastAsia" w:ascii="仿宋_GB2312" w:hAnsi="仿宋_GB2312" w:cs="仿宋_GB2312"/>
          <w:bCs/>
          <w:highlight w:val="none"/>
          <w:lang w:val="en-GB"/>
        </w:rPr>
        <w:t>流动性覆盖率</w:t>
      </w:r>
    </w:p>
    <w:p>
      <w:pPr>
        <w:spacing w:beforeLines="0" w:afterLines="0" w:line="560" w:lineRule="exact"/>
        <w:ind w:firstLine="650"/>
        <w:rPr>
          <w:rFonts w:hint="eastAsia" w:ascii="仿宋_GB2312" w:hAnsi="Times New Roman" w:eastAsia="仿宋_GB2312" w:cs="Times New Roman"/>
          <w:sz w:val="32"/>
          <w:szCs w:val="32"/>
          <w:highlight w:val="none"/>
          <w:lang w:val="en-US"/>
        </w:rPr>
      </w:pPr>
      <w:r>
        <w:rPr>
          <w:rFonts w:hint="eastAsia" w:ascii="仿宋_GB2312" w:hAnsi="仿宋_GB2312" w:eastAsia="仿宋_GB2312" w:cs="仿宋_GB2312"/>
          <w:sz w:val="32"/>
          <w:szCs w:val="32"/>
          <w:highlight w:val="none"/>
        </w:rPr>
        <w:t>衡量</w:t>
      </w:r>
      <w:r>
        <w:rPr>
          <w:rFonts w:hint="eastAsia" w:ascii="仿宋_GB2312" w:hAnsi="仿宋_GB2312" w:eastAsia="仿宋_GB2312" w:cs="仿宋_GB2312"/>
          <w:sz w:val="32"/>
          <w:szCs w:val="32"/>
          <w:highlight w:val="none"/>
          <w:lang w:eastAsia="zh-CN"/>
        </w:rPr>
        <w:t>人身</w:t>
      </w:r>
      <w:r>
        <w:rPr>
          <w:rFonts w:hint="eastAsia" w:ascii="仿宋_GB2312" w:hAnsi="仿宋_GB2312" w:eastAsia="仿宋_GB2312" w:cs="仿宋_GB2312"/>
          <w:sz w:val="32"/>
          <w:szCs w:val="32"/>
          <w:highlight w:val="none"/>
        </w:rPr>
        <w:t>保险公司在压力情景下，获得资金以支付到期债务或履行其他支付义务的能力，防范流动性风险。</w:t>
      </w:r>
      <w:r>
        <w:rPr>
          <w:rFonts w:hint="eastAsia" w:ascii="仿宋_GB2312" w:hAnsi="仿宋_GB2312" w:eastAsia="仿宋_GB2312" w:cs="仿宋_GB2312"/>
          <w:sz w:val="32"/>
          <w:szCs w:val="32"/>
          <w:highlight w:val="none"/>
          <w:lang w:eastAsia="zh-CN"/>
        </w:rPr>
        <w:t>压力情景下</w:t>
      </w:r>
      <w:r>
        <w:rPr>
          <w:rFonts w:hint="eastAsia" w:ascii="仿宋_GB2312" w:hAnsi="仿宋_GB2312" w:eastAsia="仿宋_GB2312" w:cs="仿宋_GB2312"/>
          <w:sz w:val="32"/>
          <w:szCs w:val="32"/>
          <w:highlight w:val="none"/>
        </w:rPr>
        <w:t>流动性覆盖率指标的计算</w:t>
      </w:r>
      <w:r>
        <w:rPr>
          <w:rFonts w:hint="eastAsia" w:ascii="仿宋_GB2312" w:hAnsi="仿宋_GB2312" w:eastAsia="仿宋_GB2312" w:cs="仿宋_GB2312"/>
          <w:sz w:val="32"/>
          <w:szCs w:val="32"/>
          <w:highlight w:val="none"/>
          <w:lang w:eastAsia="zh-CN"/>
        </w:rPr>
        <w:t>方法按照国家金融监督管理总局有关保险公司流动性风险</w:t>
      </w:r>
      <w:r>
        <w:rPr>
          <w:rFonts w:hint="eastAsia" w:ascii="仿宋_GB2312" w:hAnsi="仿宋_GB2312" w:eastAsia="仿宋_GB2312" w:cs="仿宋_GB2312"/>
          <w:sz w:val="32"/>
          <w:szCs w:val="32"/>
          <w:highlight w:val="none"/>
        </w:rPr>
        <w:t>监管规则</w:t>
      </w:r>
      <w:r>
        <w:rPr>
          <w:rFonts w:hint="eastAsia" w:ascii="仿宋_GB2312" w:hAnsi="仿宋_GB2312" w:eastAsia="仿宋_GB2312" w:cs="仿宋_GB2312"/>
          <w:sz w:val="32"/>
          <w:szCs w:val="32"/>
          <w:highlight w:val="none"/>
          <w:lang w:eastAsia="zh-CN"/>
        </w:rPr>
        <w:t>执行。</w:t>
      </w:r>
    </w:p>
    <w:p>
      <w:pPr>
        <w:pStyle w:val="2"/>
        <w:numPr>
          <w:ilvl w:val="0"/>
          <w:numId w:val="7"/>
        </w:numPr>
        <w:spacing w:before="0" w:beforeLines="0" w:after="0" w:afterLines="0" w:line="560" w:lineRule="exact"/>
        <w:ind w:firstLine="640"/>
        <w:rPr>
          <w:highlight w:val="none"/>
          <w:lang w:val="en-US"/>
        </w:rPr>
      </w:pPr>
      <w:r>
        <w:rPr>
          <w:rFonts w:hint="eastAsia"/>
          <w:highlight w:val="none"/>
          <w:lang w:val="en-US"/>
        </w:rPr>
        <w:t>监测指标</w:t>
      </w:r>
    </w:p>
    <w:p>
      <w:pPr>
        <w:pStyle w:val="3"/>
        <w:numPr>
          <w:ilvl w:val="-1"/>
          <w:numId w:val="0"/>
        </w:numPr>
        <w:spacing w:beforeLines="0" w:afterLines="0" w:line="560" w:lineRule="exact"/>
        <w:ind w:left="640" w:firstLine="0" w:firstLineChars="0"/>
        <w:rPr>
          <w:rFonts w:hint="eastAsia" w:ascii="仿宋_GB2312" w:hAnsi="仿宋_GB2312" w:cs="仿宋_GB2312"/>
          <w:b w:val="0"/>
          <w:highlight w:val="none"/>
          <w:lang w:val="en-GB"/>
        </w:rPr>
      </w:pPr>
      <w:r>
        <w:rPr>
          <w:rFonts w:hint="eastAsia" w:ascii="仿宋_GB2312" w:hAnsi="仿宋_GB2312" w:cs="仿宋_GB2312"/>
          <w:bCs/>
          <w:highlight w:val="none"/>
          <w:lang w:val="en-GB" w:eastAsia="zh-CN"/>
        </w:rPr>
        <w:t>（一）</w:t>
      </w:r>
      <w:r>
        <w:rPr>
          <w:rFonts w:hint="eastAsia" w:ascii="仿宋_GB2312" w:hAnsi="仿宋_GB2312" w:cs="仿宋_GB2312"/>
          <w:bCs/>
          <w:highlight w:val="none"/>
          <w:lang w:val="en-GB"/>
        </w:rPr>
        <w:t>修正久期缺口</w:t>
      </w:r>
    </w:p>
    <w:p>
      <w:pPr>
        <w:spacing w:beforeLines="0" w:afterLines="0" w:line="56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val="en-GB"/>
        </w:rPr>
        <w:t>修正</w:t>
      </w:r>
      <w:r>
        <w:rPr>
          <w:rFonts w:hint="eastAsia" w:ascii="仿宋_GB2312" w:hAnsi="仿宋_GB2312" w:eastAsia="仿宋_GB2312" w:cs="仿宋_GB2312"/>
          <w:szCs w:val="32"/>
          <w:highlight w:val="none"/>
        </w:rPr>
        <w:t>久期衡量保险公司资产和负债在利率曲线平行移动情景下的价值变动率。若缺口为负值，说明资产期限小于负债期限，当利率曲线平行移动时，资产价值变动幅度小于负债价值变动的幅度，保险公司存在利率风险和再投资风险。负债端为全口径保险业务，而资产端仅包含可计算现金流的固定收益类</w:t>
      </w:r>
      <w:r>
        <w:rPr>
          <w:rFonts w:hint="eastAsia" w:ascii="仿宋_GB2312" w:hAnsi="仿宋_GB2312" w:eastAsia="仿宋_GB2312" w:cs="仿宋_GB2312"/>
          <w:szCs w:val="32"/>
          <w:highlight w:val="none"/>
          <w:lang w:eastAsia="zh-CN"/>
        </w:rPr>
        <w:t>投资</w:t>
      </w:r>
      <w:r>
        <w:rPr>
          <w:rFonts w:hint="eastAsia" w:ascii="仿宋_GB2312" w:hAnsi="仿宋_GB2312" w:eastAsia="仿宋_GB2312" w:cs="仿宋_GB2312"/>
          <w:szCs w:val="32"/>
          <w:highlight w:val="none"/>
        </w:rPr>
        <w:t>资产，因此，需要对资产修正久期进行规模调整。</w:t>
      </w:r>
    </w:p>
    <w:p>
      <w:pPr>
        <w:pStyle w:val="47"/>
        <w:spacing w:beforeLines="0" w:afterLines="0" w:line="560" w:lineRule="exact"/>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规模调整后的</w:t>
      </w:r>
      <w:r>
        <w:rPr>
          <w:rFonts w:hint="eastAsia" w:ascii="仿宋_GB2312" w:hAnsi="仿宋_GB2312" w:eastAsia="仿宋_GB2312" w:cs="仿宋_GB2312"/>
          <w:sz w:val="32"/>
          <w:szCs w:val="32"/>
          <w:highlight w:val="none"/>
          <w:lang w:eastAsia="zh-CN"/>
        </w:rPr>
        <w:t>修正</w:t>
      </w:r>
      <w:r>
        <w:rPr>
          <w:rFonts w:hint="eastAsia" w:ascii="仿宋_GB2312" w:hAnsi="仿宋_GB2312" w:eastAsia="仿宋_GB2312" w:cs="仿宋_GB2312"/>
          <w:sz w:val="32"/>
          <w:szCs w:val="32"/>
          <w:highlight w:val="none"/>
        </w:rPr>
        <w:t>久期缺口</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资产现金流</w:t>
      </w:r>
      <w:r>
        <w:rPr>
          <w:rFonts w:hint="eastAsia" w:ascii="仿宋_GB2312" w:hAnsi="仿宋_GB2312" w:eastAsia="仿宋_GB2312" w:cs="仿宋_GB2312"/>
          <w:sz w:val="32"/>
          <w:szCs w:val="32"/>
          <w:highlight w:val="none"/>
          <w:lang w:eastAsia="zh-CN"/>
        </w:rPr>
        <w:t>修正</w:t>
      </w:r>
      <w:r>
        <w:rPr>
          <w:rFonts w:hint="eastAsia" w:ascii="仿宋_GB2312" w:hAnsi="仿宋_GB2312" w:eastAsia="仿宋_GB2312" w:cs="仿宋_GB2312"/>
          <w:sz w:val="32"/>
          <w:szCs w:val="32"/>
          <w:highlight w:val="none"/>
        </w:rPr>
        <w:t>久期</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资产现金流的折现</w:t>
      </w:r>
      <w:r>
        <w:rPr>
          <w:rFonts w:hint="eastAsia" w:ascii="仿宋_GB2312" w:hAnsi="仿宋_GB2312" w:eastAsia="仿宋_GB2312" w:cs="仿宋_GB2312"/>
          <w:sz w:val="32"/>
          <w:szCs w:val="32"/>
          <w:highlight w:val="none"/>
          <w:lang w:eastAsia="zh-CN"/>
        </w:rPr>
        <w:t>值</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负债现金流流入</w:t>
      </w:r>
      <w:r>
        <w:rPr>
          <w:rFonts w:hint="eastAsia" w:ascii="仿宋_GB2312" w:hAnsi="仿宋_GB2312" w:eastAsia="仿宋_GB2312" w:cs="仿宋_GB2312"/>
          <w:sz w:val="32"/>
          <w:szCs w:val="32"/>
          <w:highlight w:val="none"/>
          <w:lang w:eastAsia="zh-CN"/>
        </w:rPr>
        <w:t>修正</w:t>
      </w:r>
      <w:r>
        <w:rPr>
          <w:rFonts w:hint="eastAsia" w:ascii="仿宋_GB2312" w:hAnsi="仿宋_GB2312" w:eastAsia="仿宋_GB2312" w:cs="仿宋_GB2312"/>
          <w:sz w:val="32"/>
          <w:szCs w:val="32"/>
          <w:highlight w:val="none"/>
        </w:rPr>
        <w:t>久期</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负债现金流流入的折现值</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利率类衍生品买入合约的</w:t>
      </w:r>
      <w:r>
        <w:rPr>
          <w:rFonts w:hint="eastAsia" w:ascii="仿宋_GB2312" w:hAnsi="仿宋_GB2312" w:eastAsia="仿宋_GB2312" w:cs="仿宋_GB2312"/>
          <w:sz w:val="32"/>
          <w:szCs w:val="32"/>
          <w:highlight w:val="none"/>
          <w:lang w:eastAsia="zh-CN"/>
        </w:rPr>
        <w:t>修正</w:t>
      </w:r>
      <w:r>
        <w:rPr>
          <w:rFonts w:hint="eastAsia" w:ascii="仿宋_GB2312" w:hAnsi="仿宋_GB2312" w:eastAsia="仿宋_GB2312" w:cs="仿宋_GB2312"/>
          <w:sz w:val="32"/>
          <w:szCs w:val="32"/>
          <w:highlight w:val="none"/>
        </w:rPr>
        <w:t>久期</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利率类衍生品买入合约的合约价值之和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利率类衍生品卖出合约的</w:t>
      </w:r>
      <w:r>
        <w:rPr>
          <w:rFonts w:hint="eastAsia" w:ascii="仿宋_GB2312" w:hAnsi="仿宋_GB2312" w:eastAsia="仿宋_GB2312" w:cs="仿宋_GB2312"/>
          <w:sz w:val="32"/>
          <w:szCs w:val="32"/>
          <w:highlight w:val="none"/>
          <w:lang w:eastAsia="zh-CN"/>
        </w:rPr>
        <w:t>修正</w:t>
      </w:r>
      <w:r>
        <w:rPr>
          <w:rFonts w:hint="eastAsia" w:ascii="仿宋_GB2312" w:hAnsi="仿宋_GB2312" w:eastAsia="仿宋_GB2312" w:cs="仿宋_GB2312"/>
          <w:sz w:val="32"/>
          <w:szCs w:val="32"/>
          <w:highlight w:val="none"/>
        </w:rPr>
        <w:t>久期</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利率类衍生品卖出合约的合约价值之和</w:t>
      </w:r>
      <w:r>
        <w:rPr>
          <w:rFonts w:hint="eastAsia" w:ascii="仿宋_GB2312" w:hAnsi="仿宋_GB2312" w:eastAsia="仿宋_GB2312" w:cs="仿宋_GB2312"/>
          <w:sz w:val="32"/>
          <w:szCs w:val="32"/>
          <w:highlight w:val="none"/>
          <w:lang w:val="en-US" w:eastAsia="zh-CN"/>
        </w:rPr>
        <w:t>）</w:t>
      </w:r>
      <w:r>
        <w:rPr>
          <w:rFonts w:hint="default" w:ascii="Arial" w:hAnsi="Arial" w:eastAsia="仿宋_GB2312" w:cs="Arial"/>
          <w:sz w:val="32"/>
          <w:szCs w:val="32"/>
          <w:highlight w:val="none"/>
        </w:rPr>
        <w:t>÷</w:t>
      </w:r>
      <w:r>
        <w:rPr>
          <w:rFonts w:hint="eastAsia" w:ascii="仿宋_GB2312" w:hAnsi="仿宋_GB2312" w:eastAsia="仿宋_GB2312" w:cs="仿宋_GB2312"/>
          <w:sz w:val="32"/>
          <w:szCs w:val="32"/>
          <w:highlight w:val="none"/>
        </w:rPr>
        <w:t>负债现金流流出的折现值</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负债现金流流出</w:t>
      </w:r>
      <w:r>
        <w:rPr>
          <w:rFonts w:hint="eastAsia" w:ascii="仿宋_GB2312" w:hAnsi="仿宋_GB2312" w:eastAsia="仿宋_GB2312" w:cs="仿宋_GB2312"/>
          <w:sz w:val="32"/>
          <w:szCs w:val="32"/>
          <w:highlight w:val="none"/>
          <w:lang w:eastAsia="zh-CN"/>
        </w:rPr>
        <w:t>修正</w:t>
      </w:r>
      <w:r>
        <w:rPr>
          <w:rFonts w:hint="eastAsia" w:ascii="仿宋_GB2312" w:hAnsi="仿宋_GB2312" w:eastAsia="仿宋_GB2312" w:cs="仿宋_GB2312"/>
          <w:sz w:val="32"/>
          <w:szCs w:val="32"/>
          <w:highlight w:val="none"/>
        </w:rPr>
        <w:t>久期</w:t>
      </w:r>
    </w:p>
    <w:p>
      <w:pPr>
        <w:pStyle w:val="3"/>
        <w:numPr>
          <w:ilvl w:val="-1"/>
          <w:numId w:val="0"/>
        </w:numPr>
        <w:spacing w:beforeLines="0" w:afterLines="0" w:line="560" w:lineRule="exact"/>
        <w:ind w:left="640" w:firstLine="0" w:firstLineChars="0"/>
        <w:rPr>
          <w:rFonts w:hint="eastAsia" w:ascii="仿宋_GB2312" w:hAnsi="仿宋_GB2312" w:cs="仿宋_GB2312"/>
          <w:bCs/>
          <w:highlight w:val="none"/>
          <w:lang w:val="en-GB"/>
        </w:rPr>
      </w:pPr>
      <w:r>
        <w:rPr>
          <w:rFonts w:hint="eastAsia" w:ascii="仿宋_GB2312" w:hAnsi="仿宋_GB2312" w:cs="仿宋_GB2312"/>
          <w:bCs/>
          <w:highlight w:val="none"/>
          <w:lang w:val="en-GB" w:eastAsia="zh-CN"/>
        </w:rPr>
        <w:t>（二）</w:t>
      </w:r>
      <w:r>
        <w:rPr>
          <w:rFonts w:hint="eastAsia" w:ascii="仿宋_GB2312" w:hAnsi="仿宋_GB2312" w:cs="仿宋_GB2312"/>
          <w:bCs/>
          <w:highlight w:val="none"/>
          <w:lang w:val="en-GB"/>
        </w:rPr>
        <w:t>基点价值变动率</w:t>
      </w:r>
    </w:p>
    <w:p>
      <w:pPr>
        <w:pStyle w:val="47"/>
        <w:numPr>
          <w:ilvl w:val="255"/>
          <w:numId w:val="0"/>
        </w:numPr>
        <w:spacing w:beforeLines="0" w:afterLines="0"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基点价值衡量保险公司资产和负债在</w:t>
      </w:r>
      <w:r>
        <w:rPr>
          <w:rFonts w:hint="eastAsia" w:ascii="仿宋_GB2312" w:hAnsi="仿宋_GB2312" w:eastAsia="仿宋_GB2312" w:cs="仿宋_GB2312"/>
          <w:sz w:val="32"/>
          <w:szCs w:val="32"/>
          <w:highlight w:val="none"/>
          <w:lang w:eastAsia="zh-CN"/>
        </w:rPr>
        <w:t>关键期限年上</w:t>
      </w:r>
      <w:r>
        <w:rPr>
          <w:rFonts w:hint="eastAsia" w:ascii="仿宋_GB2312" w:hAnsi="仿宋_GB2312" w:eastAsia="仿宋_GB2312" w:cs="仿宋_GB2312"/>
          <w:sz w:val="32"/>
          <w:szCs w:val="32"/>
          <w:highlight w:val="none"/>
        </w:rPr>
        <w:t>利率变动情景下的金额变化。通过建立期限结构模型，评估在利率曲线平移向上、平行向下、倾斜向上、倾斜向下、扭转上升、扭转下降六种情景下，保险公司资产和负债价值的不利变动对公司实际资本的影响。</w:t>
      </w:r>
    </w:p>
    <w:p>
      <w:pPr>
        <w:spacing w:beforeLines="0" w:afterLines="0" w:line="56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基点价值变动率的计算公式如下：</w:t>
      </w:r>
    </w:p>
    <w:p>
      <w:pPr>
        <w:keepNext w:val="0"/>
        <w:keepLines w:val="0"/>
        <w:pageBreakBefore w:val="0"/>
        <w:widowControl/>
        <w:kinsoku/>
        <w:wordWrap/>
        <w:overflowPunct/>
        <w:topLinePunct w:val="0"/>
        <w:autoSpaceDE/>
        <w:autoSpaceDN/>
        <w:bidi w:val="0"/>
        <w:adjustRightInd/>
        <w:snapToGrid/>
        <w:spacing w:before="0" w:beforeLines="0" w:afterLines="0" w:line="360" w:lineRule="auto"/>
        <w:ind w:firstLine="0" w:firstLineChars="0"/>
        <w:textAlignment w:val="auto"/>
        <w:rPr>
          <w:rFonts w:hint="eastAsia" w:ascii="仿宋_GB2312" w:hAnsi="仿宋_GB2312" w:eastAsia="仿宋_GB2312" w:cs="仿宋_GB2312"/>
          <w:szCs w:val="32"/>
          <w:highlight w:val="none"/>
          <w:lang w:val="en-GB"/>
        </w:rPr>
      </w:pPr>
      <m:oMathPara>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Ratio</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f>
            <m:fPr>
              <m:ctrlPr>
                <w:rPr>
                  <w:rFonts w:hint="eastAsia" w:ascii="DejaVu Math TeX Gyre" w:hAnsi="DejaVu Math TeX Gyre" w:eastAsia="仿宋_GB2312" w:cs="仿宋_GB2312"/>
                  <w:sz w:val="32"/>
                  <w:szCs w:val="32"/>
                  <w:highlight w:val="none"/>
                  <w:lang w:val="en-GB"/>
                </w:rPr>
              </m:ctrlPr>
            </m:fPr>
            <m:num>
              <m:func>
                <m:funcPr>
                  <m:ctrlPr>
                    <w:rPr>
                      <w:rFonts w:hint="eastAsia" w:ascii="DejaVu Math TeX Gyre" w:hAnsi="DejaVu Math TeX Gyre" w:eastAsia="仿宋_GB2312" w:cs="仿宋_GB2312"/>
                      <w:sz w:val="32"/>
                      <w:szCs w:val="32"/>
                      <w:highlight w:val="none"/>
                      <w:lang w:val="en-GB"/>
                    </w:rPr>
                  </m:ctrlPr>
                </m:funcPr>
                <m:fName>
                  <m:limLow>
                    <m:limLowPr>
                      <m:ctrlPr>
                        <w:rPr>
                          <w:rFonts w:hint="eastAsia" w:ascii="DejaVu Math TeX Gyre" w:hAnsi="DejaVu Math TeX Gyre" w:eastAsia="仿宋_GB2312" w:cs="仿宋_GB2312"/>
                          <w:sz w:val="32"/>
                          <w:szCs w:val="32"/>
                          <w:highlight w:val="none"/>
                          <w:lang w:val="en-GB"/>
                        </w:rPr>
                      </m:ctrlPr>
                    </m:limLowPr>
                    <m:e>
                      <m:r>
                        <m:rPr>
                          <m:sty m:val="p"/>
                        </m:rPr>
                        <w:rPr>
                          <w:rFonts w:hint="eastAsia" w:ascii="DejaVu Math TeX Gyre" w:hAnsi="DejaVu Math TeX Gyre" w:eastAsia="仿宋_GB2312" w:cs="仿宋_GB2312"/>
                          <w:szCs w:val="32"/>
                          <w:highlight w:val="none"/>
                          <w:lang w:val="en-GB"/>
                        </w:rPr>
                        <m:t>Max</m:t>
                      </m:r>
                      <m:ctrlPr>
                        <w:rPr>
                          <w:rFonts w:hint="eastAsia" w:ascii="DejaVu Math TeX Gyre" w:hAnsi="DejaVu Math TeX Gyre" w:eastAsia="仿宋_GB2312" w:cs="仿宋_GB2312"/>
                          <w:sz w:val="32"/>
                          <w:szCs w:val="32"/>
                          <w:highlight w:val="none"/>
                          <w:lang w:val="en-GB"/>
                        </w:rPr>
                      </m:ctrlPr>
                    </m:e>
                    <m:lim>
                      <m:r>
                        <m:rPr>
                          <m:sty m:val="p"/>
                        </m:rPr>
                        <w:rPr>
                          <w:rFonts w:hint="eastAsia" w:ascii="DejaVu Math TeX Gyre" w:hAnsi="DejaVu Math TeX Gyre" w:eastAsia="仿宋_GB2312" w:cs="仿宋_GB2312"/>
                          <w:szCs w:val="32"/>
                          <w:highlight w:val="none"/>
                          <w:lang w:val="en-GB"/>
                        </w:rPr>
                        <m:t>i</m:t>
                      </m:r>
                      <m:ctrlPr>
                        <w:rPr>
                          <w:rFonts w:hint="eastAsia" w:ascii="DejaVu Math TeX Gyre" w:hAnsi="DejaVu Math TeX Gyre" w:eastAsia="仿宋_GB2312" w:cs="仿宋_GB2312"/>
                          <w:sz w:val="32"/>
                          <w:szCs w:val="32"/>
                          <w:highlight w:val="none"/>
                          <w:lang w:val="en-GB"/>
                        </w:rPr>
                      </m:ctrlPr>
                    </m:lim>
                  </m:limLow>
                  <m:ctrlPr>
                    <w:rPr>
                      <w:rFonts w:hint="eastAsia" w:ascii="DejaVu Math TeX Gyre" w:hAnsi="DejaVu Math TeX Gyre" w:eastAsia="仿宋_GB2312" w:cs="仿宋_GB2312"/>
                      <w:sz w:val="32"/>
                      <w:szCs w:val="32"/>
                      <w:highlight w:val="none"/>
                      <w:lang w:val="en-GB"/>
                    </w:rPr>
                  </m:ctrlPr>
                </m:fName>
                <m:e>
                  <m:d>
                    <m:dPr>
                      <m:ctrlPr>
                        <w:rPr>
                          <w:rFonts w:hint="eastAsia" w:ascii="DejaVu Math TeX Gyre" w:hAnsi="DejaVu Math TeX Gyre" w:eastAsia="仿宋_GB2312" w:cs="仿宋_GB2312"/>
                          <w:sz w:val="32"/>
                          <w:szCs w:val="32"/>
                          <w:highlight w:val="none"/>
                          <w:lang w:val="en-GB"/>
                        </w:rPr>
                      </m:ctrlPr>
                    </m:dPr>
                    <m:e>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Sum</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i</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d>
                  <m:ctrlPr>
                    <w:rPr>
                      <w:rFonts w:hint="eastAsia" w:ascii="DejaVu Math TeX Gyre" w:hAnsi="DejaVu Math TeX Gyre" w:eastAsia="仿宋_GB2312" w:cs="仿宋_GB2312"/>
                      <w:sz w:val="32"/>
                      <w:szCs w:val="32"/>
                      <w:highlight w:val="none"/>
                      <w:lang w:val="en-GB"/>
                    </w:rPr>
                  </m:ctrlPr>
                </m:e>
              </m:func>
              <m:ctrlPr>
                <w:rPr>
                  <w:rFonts w:hint="eastAsia" w:ascii="DejaVu Math TeX Gyre" w:hAnsi="DejaVu Math TeX Gyre" w:eastAsia="仿宋_GB2312" w:cs="仿宋_GB2312"/>
                  <w:sz w:val="32"/>
                  <w:szCs w:val="32"/>
                  <w:highlight w:val="none"/>
                  <w:lang w:val="en-GB"/>
                </w:rPr>
              </m:ctrlPr>
            </m:num>
            <m:den>
              <m:r>
                <m:rPr>
                  <m:sty m:val="p"/>
                </m:rPr>
                <w:rPr>
                  <w:rFonts w:hint="eastAsia" w:ascii="DejaVu Math TeX Gyre" w:hAnsi="DejaVu Math TeX Gyre" w:eastAsia="仿宋_GB2312" w:cs="仿宋_GB2312"/>
                  <w:szCs w:val="32"/>
                  <w:highlight w:val="none"/>
                  <w:lang w:val="en-GB"/>
                </w:rPr>
                <m:t>Capital</m:t>
              </m:r>
              <m:ctrlPr>
                <w:rPr>
                  <w:rFonts w:hint="eastAsia" w:ascii="DejaVu Math TeX Gyre" w:hAnsi="DejaVu Math TeX Gyre" w:eastAsia="仿宋_GB2312" w:cs="仿宋_GB2312"/>
                  <w:sz w:val="32"/>
                  <w:szCs w:val="32"/>
                  <w:highlight w:val="none"/>
                  <w:lang w:val="en-GB"/>
                </w:rPr>
              </m:ctrlPr>
            </m:den>
          </m:f>
        </m:oMath>
      </m:oMathPara>
    </w:p>
    <w:p>
      <w:pPr>
        <w:widowControl/>
        <w:spacing w:beforeLines="0" w:afterLines="0" w:line="560" w:lineRule="exact"/>
        <w:ind w:firstLine="640" w:firstLineChars="20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参数说明：</w:t>
      </w:r>
    </w:p>
    <w:p>
      <w:pPr>
        <w:widowControl/>
        <w:spacing w:beforeLines="0" w:afterLines="0" w:line="560" w:lineRule="exact"/>
        <w:ind w:firstLine="640" w:firstLineChars="20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Ratio</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为基点价值变动率；</w:t>
      </w:r>
    </w:p>
    <w:p>
      <w:pPr>
        <w:widowControl/>
        <w:spacing w:beforeLines="0" w:afterLines="0" w:line="560" w:lineRule="exact"/>
        <w:ind w:firstLine="640" w:firstLineChars="20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Sum</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i</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为第i个情景下基点价值变动的合计；</w:t>
      </w:r>
    </w:p>
    <w:p>
      <w:pPr>
        <w:widowControl/>
        <w:spacing w:beforeLines="0" w:afterLines="0" w:line="560" w:lineRule="exact"/>
        <w:ind w:firstLine="640" w:firstLineChars="200"/>
        <w:rPr>
          <w:rFonts w:hint="eastAsia" w:ascii="仿宋_GB2312" w:hAnsi="仿宋_GB2312" w:eastAsia="仿宋_GB2312" w:cs="仿宋_GB2312"/>
          <w:szCs w:val="32"/>
          <w:highlight w:val="none"/>
          <w:lang w:val="en-GB"/>
        </w:rPr>
      </w:pPr>
      <m:oMath>
        <m:r>
          <m:rPr>
            <m:sty m:val="p"/>
          </m:rPr>
          <w:rPr>
            <w:rFonts w:hint="eastAsia" w:ascii="DejaVu Math TeX Gyre" w:hAnsi="DejaVu Math TeX Gyre" w:eastAsia="仿宋_GB2312" w:cs="仿宋_GB2312"/>
            <w:szCs w:val="32"/>
            <w:highlight w:val="none"/>
            <w:lang w:val="en-GB"/>
          </w:rPr>
          <m:t>Capital</m:t>
        </m:r>
      </m:oMath>
      <w:r>
        <w:rPr>
          <w:rFonts w:hint="eastAsia" w:ascii="仿宋_GB2312" w:hAnsi="仿宋_GB2312" w:eastAsia="仿宋_GB2312" w:cs="仿宋_GB2312"/>
          <w:szCs w:val="32"/>
          <w:highlight w:val="none"/>
          <w:lang w:val="en-GB"/>
        </w:rPr>
        <w:t>为公司实际资本。</w:t>
      </w:r>
    </w:p>
    <w:p>
      <w:pPr>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其中，关键期限年N的基点价值变动为：</w:t>
      </w:r>
    </w:p>
    <w:p>
      <w:pPr>
        <w:keepNext w:val="0"/>
        <w:keepLines w:val="0"/>
        <w:pageBreakBefore w:val="0"/>
        <w:widowControl/>
        <w:kinsoku/>
        <w:wordWrap/>
        <w:overflowPunct/>
        <w:topLinePunct w:val="0"/>
        <w:autoSpaceDE/>
        <w:autoSpaceDN/>
        <w:bidi w:val="0"/>
        <w:adjustRightInd/>
        <w:snapToGrid/>
        <w:spacing w:before="0" w:beforeLines="0" w:afterLines="0" w:line="560" w:lineRule="exact"/>
        <w:ind w:firstLine="0" w:firstLineChars="0"/>
        <w:textAlignment w:val="auto"/>
        <w:rPr>
          <w:rFonts w:hint="eastAsia" w:ascii="仿宋_GB2312" w:hAnsi="仿宋_GB2312" w:eastAsia="仿宋_GB2312" w:cs="仿宋_GB2312"/>
          <w:szCs w:val="32"/>
          <w:highlight w:val="none"/>
          <w:lang w:val="en-GB"/>
        </w:rPr>
      </w:pPr>
      <m:oMathPara>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DV10</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f>
            <m:fPr>
              <m:ctrlPr>
                <w:rPr>
                  <w:rFonts w:hint="eastAsia" w:ascii="DejaVu Math TeX Gyre" w:hAnsi="DejaVu Math TeX Gyre" w:eastAsia="仿宋_GB2312" w:cs="仿宋_GB2312"/>
                  <w:sz w:val="32"/>
                  <w:szCs w:val="32"/>
                  <w:highlight w:val="none"/>
                  <w:lang w:val="en-GB"/>
                </w:rPr>
              </m:ctrlPr>
            </m:fPr>
            <m:num>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num>
            <m:den>
              <m:r>
                <m:rPr>
                  <m:sty m:val="p"/>
                </m:rPr>
                <w:rPr>
                  <w:rFonts w:hint="eastAsia" w:ascii="DejaVu Math TeX Gyre" w:hAnsi="DejaVu Math TeX Gyre" w:eastAsia="仿宋_GB2312" w:cs="仿宋_GB2312"/>
                  <w:szCs w:val="32"/>
                  <w:highlight w:val="none"/>
                  <w:lang w:val="en-GB"/>
                </w:rPr>
                <m:t>10</m:t>
              </m:r>
              <m:ctrlPr>
                <w:rPr>
                  <w:rFonts w:hint="eastAsia" w:ascii="DejaVu Math TeX Gyre" w:hAnsi="DejaVu Math TeX Gyre" w:eastAsia="仿宋_GB2312" w:cs="仿宋_GB2312"/>
                  <w:sz w:val="32"/>
                  <w:szCs w:val="32"/>
                  <w:highlight w:val="none"/>
                  <w:lang w:val="en-GB"/>
                </w:rPr>
              </m:ctrlPr>
            </m:den>
          </m:f>
        </m:oMath>
      </m:oMathPara>
    </w:p>
    <w:p>
      <w:pPr>
        <w:keepNext w:val="0"/>
        <w:keepLines w:val="0"/>
        <w:pageBreakBefore w:val="0"/>
        <w:widowControl/>
        <w:kinsoku/>
        <w:wordWrap/>
        <w:overflowPunct/>
        <w:topLinePunct w:val="0"/>
        <w:autoSpaceDE/>
        <w:autoSpaceDN/>
        <w:bidi w:val="0"/>
        <w:adjustRightInd/>
        <w:snapToGrid/>
        <w:spacing w:before="0" w:beforeLines="0" w:afterLines="0" w:line="560" w:lineRule="exact"/>
        <w:ind w:firstLine="0" w:firstLineChars="0"/>
        <w:textAlignment w:val="auto"/>
        <w:rPr>
          <w:rFonts w:hint="eastAsia" w:ascii="仿宋_GB2312" w:hAnsi="仿宋_GB2312" w:eastAsia="仿宋_GB2312" w:cs="仿宋_GB2312"/>
          <w:szCs w:val="32"/>
          <w:highlight w:val="none"/>
          <w:lang w:val="en-GB"/>
        </w:rPr>
      </w:pPr>
      <m:oMathPara>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All</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DV10</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DV10</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In</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DV10</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Out</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f>
            <m:fPr>
              <m:ctrlPr>
                <w:rPr>
                  <w:rFonts w:hint="eastAsia" w:ascii="DejaVu Math TeX Gyre" w:hAnsi="DejaVu Math TeX Gyre" w:eastAsia="仿宋_GB2312" w:cs="仿宋_GB2312"/>
                  <w:sz w:val="32"/>
                  <w:szCs w:val="32"/>
                  <w:highlight w:val="none"/>
                  <w:lang w:val="en-GB"/>
                </w:rPr>
              </m:ctrlPr>
            </m:fPr>
            <m:num>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num>
            <m:den>
              <m:r>
                <m:rPr>
                  <m:sty m:val="p"/>
                </m:rPr>
                <w:rPr>
                  <w:rFonts w:hint="eastAsia" w:ascii="DejaVu Math TeX Gyre" w:hAnsi="DejaVu Math TeX Gyre" w:eastAsia="仿宋_GB2312" w:cs="仿宋_GB2312"/>
                  <w:szCs w:val="32"/>
                  <w:highlight w:val="none"/>
                  <w:lang w:val="en-GB"/>
                </w:rPr>
                <m:t>10</m:t>
              </m:r>
              <m:ctrlPr>
                <w:rPr>
                  <w:rFonts w:hint="eastAsia" w:ascii="DejaVu Math TeX Gyre" w:hAnsi="DejaVu Math TeX Gyre" w:eastAsia="仿宋_GB2312" w:cs="仿宋_GB2312"/>
                  <w:sz w:val="32"/>
                  <w:szCs w:val="32"/>
                  <w:highlight w:val="none"/>
                  <w:lang w:val="en-GB"/>
                </w:rPr>
              </m:ctrlPr>
            </m:den>
          </m:f>
        </m:oMath>
      </m:oMathPara>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参数说明：</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为关键期限年N的基点价值变动；</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DV10</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为关键期限年N对应的基点价值；</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为关键期限年N对应的</w:t>
      </w:r>
      <w:r>
        <w:rPr>
          <w:rFonts w:hint="eastAsia" w:ascii="仿宋_GB2312" w:hAnsi="仿宋_GB2312" w:eastAsia="仿宋_GB2312" w:cs="仿宋_GB2312"/>
          <w:szCs w:val="32"/>
          <w:highlight w:val="none"/>
          <w:lang w:val="en-GB" w:eastAsia="zh-CN"/>
        </w:rPr>
        <w:t>利率</w:t>
      </w:r>
      <w:r>
        <w:rPr>
          <w:rFonts w:hint="eastAsia" w:ascii="仿宋_GB2312" w:hAnsi="仿宋_GB2312" w:eastAsia="仿宋_GB2312" w:cs="仿宋_GB2312"/>
          <w:szCs w:val="32"/>
          <w:highlight w:val="none"/>
          <w:lang w:val="en-GB"/>
        </w:rPr>
        <w:t>变动幅度；</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All</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为公司普通账户关键期限年N</w:t>
      </w:r>
      <w:r>
        <w:rPr>
          <w:rFonts w:hint="eastAsia" w:ascii="仿宋_GB2312" w:hAnsi="仿宋_GB2312" w:eastAsia="仿宋_GB2312" w:cs="仿宋_GB2312"/>
          <w:szCs w:val="32"/>
          <w:highlight w:val="none"/>
          <w:lang w:val="en-GB" w:eastAsia="zh-CN"/>
        </w:rPr>
        <w:t>对应</w:t>
      </w:r>
      <w:r>
        <w:rPr>
          <w:rFonts w:hint="eastAsia" w:ascii="仿宋_GB2312" w:hAnsi="仿宋_GB2312" w:eastAsia="仿宋_GB2312" w:cs="仿宋_GB2312"/>
          <w:szCs w:val="32"/>
          <w:highlight w:val="none"/>
          <w:lang w:val="en-GB"/>
        </w:rPr>
        <w:t>的基点价值变动；</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DV10</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为公司普通账户关键期限年N对应的资产现金流基点价值；</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DV10</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In</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为公司普通账户关键期限年N对应的负债现金流流入基点价值；</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DV10</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Out</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为公司普通账户关键期限年N对应的负债现金流流出基点价值。</w:t>
      </w:r>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公司普通账户基点价值变动的合计为：</w:t>
      </w:r>
    </w:p>
    <w:p>
      <w:pPr>
        <w:keepNext w:val="0"/>
        <w:keepLines w:val="0"/>
        <w:pageBreakBefore w:val="0"/>
        <w:widowControl/>
        <w:kinsoku/>
        <w:wordWrap/>
        <w:overflowPunct/>
        <w:topLinePunct w:val="0"/>
        <w:autoSpaceDE/>
        <w:autoSpaceDN/>
        <w:bidi w:val="0"/>
        <w:adjustRightInd/>
        <w:snapToGrid/>
        <w:spacing w:before="0" w:beforeLines="0" w:afterLines="0" w:line="560" w:lineRule="exact"/>
        <w:ind w:firstLine="0" w:firstLineChars="0"/>
        <w:textAlignment w:val="auto"/>
        <w:rPr>
          <w:rFonts w:hint="eastAsia" w:ascii="仿宋_GB2312" w:hAnsi="仿宋_GB2312" w:eastAsia="仿宋_GB2312" w:cs="仿宋_GB2312"/>
          <w:szCs w:val="32"/>
          <w:highlight w:val="none"/>
          <w:lang w:val="en-GB"/>
        </w:rPr>
      </w:pPr>
      <m:oMathPara>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Sum</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nary>
            <m:naryPr>
              <m:chr m:val="∑"/>
              <m:limLoc m:val="undOvr"/>
              <m:subHide m:val="1"/>
              <m:supHide m:val="1"/>
              <m:ctrlPr>
                <w:rPr>
                  <w:rFonts w:hint="eastAsia" w:ascii="DejaVu Math TeX Gyre" w:hAnsi="DejaVu Math TeX Gyre" w:eastAsia="仿宋_GB2312" w:cs="仿宋_GB2312"/>
                  <w:sz w:val="32"/>
                  <w:szCs w:val="32"/>
                  <w:highlight w:val="none"/>
                  <w:lang w:val="en-GB"/>
                </w:rPr>
              </m:ctrlPr>
            </m:naryPr>
            <m:sub>
              <m:ctrlPr>
                <w:rPr>
                  <w:rFonts w:hint="eastAsia" w:ascii="DejaVu Math TeX Gyre" w:hAnsi="DejaVu Math TeX Gyre" w:eastAsia="仿宋_GB2312" w:cs="仿宋_GB2312"/>
                  <w:sz w:val="32"/>
                  <w:szCs w:val="32"/>
                  <w:highlight w:val="none"/>
                  <w:lang w:val="en-GB"/>
                </w:rPr>
              </m:ctrlPr>
            </m:sub>
            <m:sup>
              <m:ctrlPr>
                <w:rPr>
                  <w:rFonts w:hint="eastAsia" w:ascii="DejaVu Math TeX Gyre" w:hAnsi="DejaVu Math TeX Gyre" w:eastAsia="仿宋_GB2312" w:cs="仿宋_GB2312"/>
                  <w:sz w:val="32"/>
                  <w:szCs w:val="32"/>
                  <w:highlight w:val="none"/>
                  <w:lang w:val="en-GB"/>
                </w:rPr>
              </m:ctrlPr>
            </m:sup>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All</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nary>
          <m:r>
            <m:rPr>
              <m:sty m:val="p"/>
            </m:rPr>
            <w:rPr>
              <w:rFonts w:hint="eastAsia" w:ascii="DejaVu Math TeX Gyre" w:hAnsi="DejaVu Math TeX Gyre" w:eastAsia="仿宋_GB2312" w:cs="仿宋_GB2312"/>
              <w:szCs w:val="32"/>
              <w:highlight w:val="none"/>
              <w:lang w:val="en-GB"/>
            </w:rPr>
            <m:t>+LA</m:t>
          </m:r>
        </m:oMath>
      </m:oMathPara>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参数说明：</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Sum</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为基点价值变动的合计；</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All</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N</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为公司普通账户关键期限年N对应的基点价值变动；</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r>
          <m:rPr>
            <m:sty m:val="p"/>
          </m:rPr>
          <w:rPr>
            <w:rFonts w:hint="eastAsia" w:ascii="DejaVu Math TeX Gyre" w:hAnsi="DejaVu Math TeX Gyre" w:eastAsia="仿宋_GB2312" w:cs="仿宋_GB2312"/>
            <w:szCs w:val="32"/>
            <w:highlight w:val="none"/>
            <w:lang w:val="en-GB"/>
          </w:rPr>
          <m:t>LA</m:t>
        </m:r>
      </m:oMath>
      <w:r>
        <w:rPr>
          <w:rFonts w:hint="eastAsia" w:ascii="仿宋_GB2312" w:hAnsi="仿宋_GB2312" w:eastAsia="仿宋_GB2312" w:cs="仿宋_GB2312"/>
          <w:szCs w:val="32"/>
          <w:highlight w:val="none"/>
          <w:lang w:val="en-GB"/>
        </w:rPr>
        <w:t>为损失吸收效应调整，最大值为零。</w:t>
      </w:r>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在</w:t>
      </w:r>
      <w:r>
        <w:rPr>
          <w:rFonts w:hint="eastAsia" w:ascii="仿宋_GB2312" w:hAnsi="仿宋_GB2312" w:eastAsia="仿宋_GB2312" w:cs="仿宋_GB2312"/>
          <w:szCs w:val="32"/>
          <w:highlight w:val="none"/>
          <w:lang w:val="en-GB" w:eastAsia="zh-CN"/>
        </w:rPr>
        <w:t>利率</w:t>
      </w:r>
      <w:r>
        <w:rPr>
          <w:rFonts w:hint="eastAsia" w:ascii="仿宋_GB2312" w:hAnsi="仿宋_GB2312" w:eastAsia="仿宋_GB2312" w:cs="仿宋_GB2312"/>
          <w:szCs w:val="32"/>
          <w:highlight w:val="none"/>
          <w:lang w:val="en-GB"/>
        </w:rPr>
        <w:t>变动情景为上升、下降、倾斜上、倾斜下、扭转上和扭转下时，计算分红保险和万能保险负债现金流流出的基点价值变动合计应考虑损失吸收效应调整。</w:t>
      </w:r>
      <m:oMath>
        <m:r>
          <m:rPr>
            <m:sty m:val="p"/>
          </m:rPr>
          <w:rPr>
            <w:rFonts w:hint="eastAsia" w:ascii="DejaVu Math TeX Gyre" w:hAnsi="DejaVu Math TeX Gyre" w:eastAsia="仿宋_GB2312" w:cs="仿宋_GB2312"/>
            <w:szCs w:val="32"/>
            <w:highlight w:val="none"/>
            <w:lang w:val="en-GB"/>
          </w:rPr>
          <m:t>β</m:t>
        </m:r>
      </m:oMath>
      <w:r>
        <w:rPr>
          <w:rFonts w:hint="eastAsia" w:ascii="仿宋_GB2312" w:hAnsi="仿宋_GB2312" w:eastAsia="仿宋_GB2312" w:cs="仿宋_GB2312"/>
          <w:szCs w:val="32"/>
          <w:highlight w:val="none"/>
          <w:lang w:val="en-GB"/>
        </w:rPr>
        <w:t>为分红保险和万能保险损失吸收效应的调整比例，计算方法如下：</w:t>
      </w:r>
    </w:p>
    <w:p>
      <w:pPr>
        <w:keepNext w:val="0"/>
        <w:keepLines w:val="0"/>
        <w:pageBreakBefore w:val="0"/>
        <w:widowControl/>
        <w:kinsoku/>
        <w:wordWrap/>
        <w:overflowPunct/>
        <w:topLinePunct w:val="0"/>
        <w:autoSpaceDE/>
        <w:autoSpaceDN/>
        <w:bidi w:val="0"/>
        <w:adjustRightInd/>
        <w:snapToGrid/>
        <w:spacing w:before="0" w:beforeLines="0" w:afterLines="0" w:line="360" w:lineRule="auto"/>
        <w:ind w:firstLine="0" w:firstLineChars="0"/>
        <w:textAlignment w:val="auto"/>
        <w:rPr>
          <w:rFonts w:hint="eastAsia" w:ascii="仿宋_GB2312" w:hAnsi="仿宋_GB2312" w:eastAsia="仿宋_GB2312" w:cs="仿宋_GB2312"/>
          <w:szCs w:val="32"/>
          <w:highlight w:val="none"/>
          <w:lang w:val="en-GB"/>
        </w:rPr>
      </w:pPr>
      <m:oMathPara>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Par</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func>
            <m:funcPr>
              <m:ctrlPr>
                <w:rPr>
                  <w:rFonts w:hint="eastAsia" w:ascii="DejaVu Math TeX Gyre" w:hAnsi="DejaVu Math TeX Gyre" w:eastAsia="仿宋_GB2312" w:cs="仿宋_GB2312"/>
                  <w:sz w:val="32"/>
                  <w:szCs w:val="32"/>
                  <w:highlight w:val="none"/>
                  <w:lang w:val="en-GB"/>
                </w:rPr>
              </m:ctrlPr>
            </m:funcPr>
            <m:fName>
              <m:r>
                <m:rPr>
                  <m:sty m:val="p"/>
                </m:rPr>
                <w:rPr>
                  <w:rFonts w:hint="eastAsia" w:ascii="DejaVu Math TeX Gyre" w:hAnsi="DejaVu Math TeX Gyre" w:eastAsia="仿宋_GB2312" w:cs="仿宋_GB2312"/>
                  <w:szCs w:val="32"/>
                  <w:highlight w:val="none"/>
                  <w:lang w:val="en-GB"/>
                </w:rPr>
                <m:t>Min</m:t>
              </m:r>
              <m:ctrlPr>
                <w:rPr>
                  <w:rFonts w:hint="eastAsia" w:ascii="DejaVu Math TeX Gyre" w:hAnsi="DejaVu Math TeX Gyre" w:eastAsia="仿宋_GB2312" w:cs="仿宋_GB2312"/>
                  <w:sz w:val="32"/>
                  <w:szCs w:val="32"/>
                  <w:highlight w:val="none"/>
                  <w:lang w:val="en-GB"/>
                </w:rPr>
              </m:ctrlPr>
            </m:fName>
            <m:e>
              <m:d>
                <m:dPr>
                  <m:ctrlPr>
                    <w:rPr>
                      <w:rFonts w:hint="eastAsia" w:ascii="DejaVu Math TeX Gyre" w:hAnsi="DejaVu Math TeX Gyre" w:eastAsia="仿宋_GB2312" w:cs="仿宋_GB2312"/>
                      <w:sz w:val="32"/>
                      <w:szCs w:val="32"/>
                      <w:highlight w:val="none"/>
                      <w:lang w:val="en-GB"/>
                    </w:rPr>
                  </m:ctrlPr>
                </m:d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cross−par</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，1−</m:t>
                  </m:r>
                  <m:f>
                    <m:fPr>
                      <m:ctrlPr>
                        <w:rPr>
                          <w:rFonts w:hint="eastAsia" w:ascii="DejaVu Math TeX Gyre" w:hAnsi="DejaVu Math TeX Gyre" w:eastAsia="仿宋_GB2312" w:cs="仿宋_GB2312"/>
                          <w:sz w:val="32"/>
                          <w:szCs w:val="32"/>
                          <w:highlight w:val="none"/>
                          <w:lang w:val="en-GB"/>
                        </w:rPr>
                      </m:ctrlPr>
                    </m:fPr>
                    <m:num>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eff</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Par</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num>
                    <m:den>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mod</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Par</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den>
                  </m:f>
                  <m:ctrlPr>
                    <w:rPr>
                      <w:rFonts w:hint="eastAsia" w:ascii="DejaVu Math TeX Gyre" w:hAnsi="DejaVu Math TeX Gyre" w:eastAsia="仿宋_GB2312" w:cs="仿宋_GB2312"/>
                      <w:sz w:val="32"/>
                      <w:szCs w:val="32"/>
                      <w:highlight w:val="none"/>
                      <w:lang w:val="en-GB"/>
                    </w:rPr>
                  </m:ctrlPr>
                </m:e>
              </m:d>
              <m:ctrlPr>
                <w:rPr>
                  <w:rFonts w:hint="eastAsia" w:ascii="DejaVu Math TeX Gyre" w:hAnsi="DejaVu Math TeX Gyre" w:eastAsia="仿宋_GB2312" w:cs="仿宋_GB2312"/>
                  <w:sz w:val="32"/>
                  <w:szCs w:val="32"/>
                  <w:highlight w:val="none"/>
                  <w:lang w:val="en-GB"/>
                </w:rPr>
              </m:ctrlPr>
            </m:e>
          </m:func>
        </m:oMath>
      </m:oMathPara>
    </w:p>
    <w:p>
      <w:pPr>
        <w:keepNext w:val="0"/>
        <w:keepLines w:val="0"/>
        <w:pageBreakBefore w:val="0"/>
        <w:widowControl/>
        <w:kinsoku/>
        <w:wordWrap/>
        <w:overflowPunct/>
        <w:topLinePunct w:val="0"/>
        <w:autoSpaceDE/>
        <w:autoSpaceDN/>
        <w:bidi w:val="0"/>
        <w:adjustRightInd/>
        <w:snapToGrid/>
        <w:spacing w:before="0" w:beforeLines="0" w:afterLines="0" w:line="360" w:lineRule="auto"/>
        <w:ind w:firstLine="0" w:firstLineChars="0"/>
        <w:textAlignment w:val="auto"/>
        <w:rPr>
          <w:rFonts w:hint="eastAsia" w:ascii="仿宋_GB2312" w:hAnsi="仿宋_GB2312" w:eastAsia="仿宋_GB2312" w:cs="仿宋_GB2312"/>
          <w:szCs w:val="32"/>
          <w:highlight w:val="none"/>
          <w:lang w:val="en-GB"/>
        </w:rPr>
      </w:pPr>
      <m:oMathPara>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U</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func>
            <m:funcPr>
              <m:ctrlPr>
                <w:rPr>
                  <w:rFonts w:hint="eastAsia" w:ascii="DejaVu Math TeX Gyre" w:hAnsi="DejaVu Math TeX Gyre" w:eastAsia="仿宋_GB2312" w:cs="仿宋_GB2312"/>
                  <w:sz w:val="32"/>
                  <w:szCs w:val="32"/>
                  <w:highlight w:val="none"/>
                  <w:lang w:val="en-GB"/>
                </w:rPr>
              </m:ctrlPr>
            </m:funcPr>
            <m:fName>
              <m:r>
                <m:rPr>
                  <m:sty m:val="p"/>
                </m:rPr>
                <w:rPr>
                  <w:rFonts w:hint="eastAsia" w:ascii="DejaVu Math TeX Gyre" w:hAnsi="DejaVu Math TeX Gyre" w:eastAsia="仿宋_GB2312" w:cs="仿宋_GB2312"/>
                  <w:szCs w:val="32"/>
                  <w:highlight w:val="none"/>
                  <w:lang w:val="en-GB"/>
                </w:rPr>
                <m:t>Min</m:t>
              </m:r>
              <m:ctrlPr>
                <w:rPr>
                  <w:rFonts w:hint="eastAsia" w:ascii="DejaVu Math TeX Gyre" w:hAnsi="DejaVu Math TeX Gyre" w:eastAsia="仿宋_GB2312" w:cs="仿宋_GB2312"/>
                  <w:sz w:val="32"/>
                  <w:szCs w:val="32"/>
                  <w:highlight w:val="none"/>
                  <w:lang w:val="en-GB"/>
                </w:rPr>
              </m:ctrlPr>
            </m:fName>
            <m:e>
              <m:d>
                <m:dPr>
                  <m:ctrlPr>
                    <w:rPr>
                      <w:rFonts w:hint="eastAsia" w:ascii="DejaVu Math TeX Gyre" w:hAnsi="DejaVu Math TeX Gyre" w:eastAsia="仿宋_GB2312" w:cs="仿宋_GB2312"/>
                      <w:sz w:val="32"/>
                      <w:szCs w:val="32"/>
                      <w:highlight w:val="none"/>
                      <w:lang w:val="en-GB"/>
                    </w:rPr>
                  </m:ctrlPr>
                </m:d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cross−U</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，1−</m:t>
                  </m:r>
                  <m:f>
                    <m:fPr>
                      <m:ctrlPr>
                        <w:rPr>
                          <w:rFonts w:hint="eastAsia" w:ascii="DejaVu Math TeX Gyre" w:hAnsi="DejaVu Math TeX Gyre" w:eastAsia="仿宋_GB2312" w:cs="仿宋_GB2312"/>
                          <w:sz w:val="32"/>
                          <w:szCs w:val="32"/>
                          <w:highlight w:val="none"/>
                          <w:lang w:val="en-GB"/>
                        </w:rPr>
                      </m:ctrlPr>
                    </m:fPr>
                    <m:num>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eff</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U</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num>
                    <m:den>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mod</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U</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den>
                  </m:f>
                  <m:ctrlPr>
                    <w:rPr>
                      <w:rFonts w:hint="eastAsia" w:ascii="DejaVu Math TeX Gyre" w:hAnsi="DejaVu Math TeX Gyre" w:eastAsia="仿宋_GB2312" w:cs="仿宋_GB2312"/>
                      <w:sz w:val="32"/>
                      <w:szCs w:val="32"/>
                      <w:highlight w:val="none"/>
                      <w:lang w:val="en-GB"/>
                    </w:rPr>
                  </m:ctrlPr>
                </m:e>
              </m:d>
              <m:ctrlPr>
                <w:rPr>
                  <w:rFonts w:hint="eastAsia" w:ascii="DejaVu Math TeX Gyre" w:hAnsi="DejaVu Math TeX Gyre" w:eastAsia="仿宋_GB2312" w:cs="仿宋_GB2312"/>
                  <w:sz w:val="32"/>
                  <w:szCs w:val="32"/>
                  <w:highlight w:val="none"/>
                  <w:lang w:val="en-GB"/>
                </w:rPr>
              </m:ctrlPr>
            </m:e>
          </m:func>
        </m:oMath>
      </m:oMathPara>
    </w:p>
    <w:p>
      <w:pPr>
        <w:keepNext w:val="0"/>
        <w:keepLines w:val="0"/>
        <w:pageBreakBefore w:val="0"/>
        <w:widowControl/>
        <w:kinsoku/>
        <w:wordWrap/>
        <w:overflowPunct/>
        <w:topLinePunct w:val="0"/>
        <w:autoSpaceDE/>
        <w:autoSpaceDN/>
        <w:bidi w:val="0"/>
        <w:adjustRightInd/>
        <w:snapToGrid/>
        <w:spacing w:before="0" w:beforeLines="0" w:afterLines="0" w:line="360" w:lineRule="auto"/>
        <w:ind w:firstLine="0" w:firstLineChars="0"/>
        <w:textAlignment w:val="auto"/>
        <w:rPr>
          <w:rFonts w:hint="eastAsia" w:ascii="仿宋_GB2312" w:hAnsi="仿宋_GB2312" w:eastAsia="仿宋_GB2312" w:cs="仿宋_GB2312"/>
          <w:szCs w:val="32"/>
          <w:highlight w:val="none"/>
          <w:lang w:val="en-GB"/>
        </w:rPr>
      </w:pPr>
      <m:oMathPara>
        <m:oMath>
          <m:r>
            <m:rPr>
              <m:sty m:val="p"/>
            </m:rPr>
            <w:rPr>
              <w:rFonts w:hint="eastAsia" w:ascii="DejaVu Math TeX Gyre" w:hAnsi="DejaVu Math TeX Gyre" w:eastAsia="仿宋_GB2312" w:cs="仿宋_GB2312"/>
              <w:szCs w:val="32"/>
              <w:highlight w:val="none"/>
              <w:lang w:val="en-GB"/>
            </w:rPr>
            <m:t>LA=</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Par</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func>
            <m:funcPr>
              <m:ctrlPr>
                <w:rPr>
                  <w:rFonts w:hint="eastAsia" w:ascii="DejaVu Math TeX Gyre" w:hAnsi="DejaVu Math TeX Gyre" w:eastAsia="仿宋_GB2312" w:cs="仿宋_GB2312"/>
                  <w:sz w:val="32"/>
                  <w:szCs w:val="32"/>
                  <w:highlight w:val="none"/>
                  <w:lang w:val="en-GB"/>
                </w:rPr>
              </m:ctrlPr>
            </m:funcPr>
            <m:fName>
              <m:r>
                <m:rPr>
                  <m:sty m:val="p"/>
                </m:rPr>
                <w:rPr>
                  <w:rFonts w:hint="eastAsia" w:ascii="DejaVu Math TeX Gyre" w:hAnsi="DejaVu Math TeX Gyre" w:eastAsia="仿宋_GB2312" w:cs="仿宋_GB2312"/>
                  <w:szCs w:val="32"/>
                  <w:highlight w:val="none"/>
                  <w:lang w:val="en-GB"/>
                </w:rPr>
                <m:t>min⁡(</m:t>
              </m:r>
              <m:ctrlPr>
                <w:rPr>
                  <w:rFonts w:hint="eastAsia" w:ascii="DejaVu Math TeX Gyre" w:hAnsi="DejaVu Math TeX Gyre" w:eastAsia="仿宋_GB2312" w:cs="仿宋_GB2312"/>
                  <w:sz w:val="32"/>
                  <w:szCs w:val="32"/>
                  <w:highlight w:val="none"/>
                  <w:lang w:val="en-GB"/>
                </w:rPr>
              </m:ctrlPr>
            </m:fName>
            <m:e>
              <m:nary>
                <m:naryPr>
                  <m:chr m:val="∑"/>
                  <m:limLoc m:val="undOvr"/>
                  <m:subHide m:val="1"/>
                  <m:supHide m:val="1"/>
                  <m:ctrlPr>
                    <w:rPr>
                      <w:rFonts w:hint="eastAsia" w:ascii="DejaVu Math TeX Gyre" w:hAnsi="DejaVu Math TeX Gyre" w:eastAsia="仿宋_GB2312" w:cs="仿宋_GB2312"/>
                      <w:sz w:val="32"/>
                      <w:szCs w:val="32"/>
                      <w:highlight w:val="none"/>
                      <w:lang w:val="en-GB"/>
                    </w:rPr>
                  </m:ctrlPr>
                </m:naryPr>
                <m:sub>
                  <m:ctrlPr>
                    <w:rPr>
                      <w:rFonts w:hint="eastAsia" w:ascii="DejaVu Math TeX Gyre" w:hAnsi="DejaVu Math TeX Gyre" w:eastAsia="仿宋_GB2312" w:cs="仿宋_GB2312"/>
                      <w:sz w:val="32"/>
                      <w:szCs w:val="32"/>
                      <w:highlight w:val="none"/>
                      <w:lang w:val="en-GB"/>
                    </w:rPr>
                  </m:ctrlPr>
                </m:sub>
                <m:sup>
                  <m:ctrlPr>
                    <w:rPr>
                      <w:rFonts w:hint="eastAsia" w:ascii="DejaVu Math TeX Gyre" w:hAnsi="DejaVu Math TeX Gyre" w:eastAsia="仿宋_GB2312" w:cs="仿宋_GB2312"/>
                      <w:sz w:val="32"/>
                      <w:szCs w:val="32"/>
                      <w:highlight w:val="none"/>
                      <w:lang w:val="en-GB"/>
                    </w:rPr>
                  </m:ctrlPr>
                </m:sup>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m:t>
                      </m:r>
                      <m:ctrlPr>
                        <w:rPr>
                          <w:rFonts w:hint="eastAsia" w:ascii="DejaVu Math TeX Gyre" w:hAnsi="DejaVu Math TeX Gyre" w:eastAsia="仿宋_GB2312" w:cs="仿宋_GB2312"/>
                          <w:sz w:val="32"/>
                          <w:szCs w:val="32"/>
                          <w:highlight w:val="none"/>
                          <w:lang w:val="en-GB"/>
                        </w:rPr>
                      </m:ctrlPr>
                    </m:e>
                    <m:sub>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Par</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nary>
              <m:r>
                <m:rPr>
                  <m:sty m:val="p"/>
                </m:rPr>
                <w:rPr>
                  <w:rFonts w:hint="eastAsia" w:ascii="DejaVu Math TeX Gyre" w:hAnsi="DejaVu Math TeX Gyre" w:eastAsia="仿宋_GB2312" w:cs="仿宋_GB2312"/>
                  <w:szCs w:val="32"/>
                  <w:highlight w:val="none"/>
                  <w:lang w:val="en-GB"/>
                </w:rPr>
                <m:t>,0)</m:t>
              </m:r>
              <m:ctrlPr>
                <w:rPr>
                  <w:rFonts w:hint="eastAsia" w:ascii="DejaVu Math TeX Gyre" w:hAnsi="DejaVu Math TeX Gyre" w:eastAsia="仿宋_GB2312" w:cs="仿宋_GB2312"/>
                  <w:sz w:val="32"/>
                  <w:szCs w:val="32"/>
                  <w:highlight w:val="none"/>
                  <w:lang w:val="en-GB"/>
                </w:rPr>
              </m:ctrlPr>
            </m:e>
          </m:func>
          <m:r>
            <m:rPr>
              <m:sty m:val="p"/>
            </m:rPr>
            <w:rPr>
              <w:rFonts w:hint="eastAsia" w:ascii="DejaVu Math TeX Gyre" w:hAnsi="DejaVu Math TeX Gyre" w:eastAsia="仿宋_GB2312" w:cs="仿宋_GB2312"/>
              <w:szCs w:val="32"/>
              <w:highlight w:val="none"/>
              <w:lang w:val="en-GB"/>
            </w:rPr>
            <m:t>+</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U</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func>
            <m:funcPr>
              <m:ctrlPr>
                <w:rPr>
                  <w:rFonts w:hint="eastAsia" w:ascii="DejaVu Math TeX Gyre" w:hAnsi="DejaVu Math TeX Gyre" w:eastAsia="仿宋_GB2312" w:cs="仿宋_GB2312"/>
                  <w:sz w:val="32"/>
                  <w:szCs w:val="32"/>
                  <w:highlight w:val="none"/>
                  <w:lang w:val="en-GB"/>
                </w:rPr>
              </m:ctrlPr>
            </m:funcPr>
            <m:fName>
              <m:r>
                <m:rPr>
                  <m:sty m:val="p"/>
                </m:rPr>
                <w:rPr>
                  <w:rFonts w:hint="eastAsia" w:ascii="DejaVu Math TeX Gyre" w:hAnsi="DejaVu Math TeX Gyre" w:eastAsia="仿宋_GB2312" w:cs="仿宋_GB2312"/>
                  <w:szCs w:val="32"/>
                  <w:highlight w:val="none"/>
                  <w:lang w:val="en-GB"/>
                </w:rPr>
                <m:t>min⁡(</m:t>
              </m:r>
              <m:ctrlPr>
                <w:rPr>
                  <w:rFonts w:hint="eastAsia" w:ascii="DejaVu Math TeX Gyre" w:hAnsi="DejaVu Math TeX Gyre" w:eastAsia="仿宋_GB2312" w:cs="仿宋_GB2312"/>
                  <w:sz w:val="32"/>
                  <w:szCs w:val="32"/>
                  <w:highlight w:val="none"/>
                  <w:lang w:val="en-GB"/>
                </w:rPr>
              </m:ctrlPr>
            </m:fName>
            <m:e>
              <m:nary>
                <m:naryPr>
                  <m:chr m:val="∑"/>
                  <m:limLoc m:val="undOvr"/>
                  <m:subHide m:val="1"/>
                  <m:supHide m:val="1"/>
                  <m:ctrlPr>
                    <w:rPr>
                      <w:rFonts w:hint="eastAsia" w:ascii="DejaVu Math TeX Gyre" w:hAnsi="DejaVu Math TeX Gyre" w:eastAsia="仿宋_GB2312" w:cs="仿宋_GB2312"/>
                      <w:sz w:val="32"/>
                      <w:szCs w:val="32"/>
                      <w:highlight w:val="none"/>
                      <w:lang w:val="en-GB"/>
                    </w:rPr>
                  </m:ctrlPr>
                </m:naryPr>
                <m:sub>
                  <m:ctrlPr>
                    <w:rPr>
                      <w:rFonts w:hint="eastAsia" w:ascii="DejaVu Math TeX Gyre" w:hAnsi="DejaVu Math TeX Gyre" w:eastAsia="仿宋_GB2312" w:cs="仿宋_GB2312"/>
                      <w:sz w:val="32"/>
                      <w:szCs w:val="32"/>
                      <w:highlight w:val="none"/>
                      <w:lang w:val="en-GB"/>
                    </w:rPr>
                  </m:ctrlPr>
                </m:sub>
                <m:sup>
                  <m:ctrlPr>
                    <w:rPr>
                      <w:rFonts w:hint="eastAsia" w:ascii="DejaVu Math TeX Gyre" w:hAnsi="DejaVu Math TeX Gyre" w:eastAsia="仿宋_GB2312" w:cs="仿宋_GB2312"/>
                      <w:sz w:val="32"/>
                      <w:szCs w:val="32"/>
                      <w:highlight w:val="none"/>
                      <w:lang w:val="en-GB"/>
                    </w:rPr>
                  </m:ctrlPr>
                </m:sup>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DV</m:t>
                      </m:r>
                      <m:ctrlPr>
                        <w:rPr>
                          <w:rFonts w:hint="eastAsia" w:ascii="DejaVu Math TeX Gyre" w:hAnsi="DejaVu Math TeX Gyre" w:eastAsia="仿宋_GB2312" w:cs="仿宋_GB2312"/>
                          <w:sz w:val="32"/>
                          <w:szCs w:val="32"/>
                          <w:highlight w:val="none"/>
                          <w:lang w:val="en-GB"/>
                        </w:rPr>
                      </m:ctrlPr>
                    </m:e>
                    <m:sub>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U</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nary>
              <m:r>
                <m:rPr>
                  <m:sty m:val="p"/>
                </m:rPr>
                <w:rPr>
                  <w:rFonts w:hint="eastAsia" w:ascii="DejaVu Math TeX Gyre" w:hAnsi="DejaVu Math TeX Gyre" w:eastAsia="仿宋_GB2312" w:cs="仿宋_GB2312"/>
                  <w:szCs w:val="32"/>
                  <w:highlight w:val="none"/>
                  <w:lang w:val="en-GB"/>
                </w:rPr>
                <m:t>,0)</m:t>
              </m:r>
              <m:ctrlPr>
                <w:rPr>
                  <w:rFonts w:hint="eastAsia" w:ascii="DejaVu Math TeX Gyre" w:hAnsi="DejaVu Math TeX Gyre" w:eastAsia="仿宋_GB2312" w:cs="仿宋_GB2312"/>
                  <w:sz w:val="32"/>
                  <w:szCs w:val="32"/>
                  <w:highlight w:val="none"/>
                  <w:lang w:val="en-GB"/>
                </w:rPr>
              </m:ctrlPr>
            </m:e>
          </m:func>
        </m:oMath>
      </m:oMathPara>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参数说明：</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cross−Par</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和</w:t>
      </w: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cross−U</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取值分别与偿付能力监管规则关于分红保险和万能保险合同损失吸收效应调整比率保持一致；</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Par</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和</w:t>
      </w: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β</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U</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分别为分红保险和万能保险负债现金流流出的损失吸收系数；</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eff</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Par</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和</w:t>
      </w:r>
      <m:oMath>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eff</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U</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分别为分红保险和万能保险负债现金流流出的有效久期；</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mod</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Par</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和</w:t>
      </w:r>
      <m:oMath>
        <m:sSub>
          <m:sSubPr>
            <m:ctrlPr>
              <w:rPr>
                <w:rFonts w:hint="eastAsia" w:ascii="DejaVu Math TeX Gyre" w:hAnsi="DejaVu Math TeX Gyre" w:eastAsia="仿宋_GB2312" w:cs="仿宋_GB2312"/>
                <w:sz w:val="32"/>
                <w:szCs w:val="32"/>
                <w:highlight w:val="none"/>
                <w:lang w:val="en-GB"/>
              </w:rPr>
            </m:ctrlPr>
          </m:sSubPr>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mod</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U</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分别为分红保险和万能保险负债现金流流出的修正久期；</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r>
          <m:rPr>
            <m:sty m:val="p"/>
          </m:rPr>
          <w:rPr>
            <w:rFonts w:hint="eastAsia" w:ascii="DejaVu Math TeX Gyre" w:hAnsi="DejaVu Math TeX Gyre" w:eastAsia="仿宋_GB2312" w:cs="仿宋_GB2312"/>
            <w:szCs w:val="32"/>
            <w:highlight w:val="none"/>
            <w:lang w:val="en-GB"/>
          </w:rPr>
          <m:t>LA</m:t>
        </m:r>
      </m:oMath>
      <w:r>
        <w:rPr>
          <w:rFonts w:hint="eastAsia" w:ascii="仿宋_GB2312" w:hAnsi="仿宋_GB2312" w:eastAsia="仿宋_GB2312" w:cs="仿宋_GB2312"/>
          <w:szCs w:val="32"/>
          <w:highlight w:val="none"/>
          <w:lang w:val="en-GB"/>
        </w:rPr>
        <w:t>为损失吸收效应调整，最大值为零；</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nary>
          <m:naryPr>
            <m:chr m:val="∑"/>
            <m:limLoc m:val="undOvr"/>
            <m:subHide m:val="1"/>
            <m:supHide m:val="1"/>
            <m:ctrlPr>
              <w:rPr>
                <w:rFonts w:hint="eastAsia" w:ascii="DejaVu Math TeX Gyre" w:hAnsi="DejaVu Math TeX Gyre" w:eastAsia="仿宋_GB2312" w:cs="仿宋_GB2312"/>
                <w:sz w:val="32"/>
                <w:szCs w:val="32"/>
                <w:highlight w:val="none"/>
                <w:lang w:val="en-GB"/>
              </w:rPr>
            </m:ctrlPr>
          </m:naryPr>
          <m:sub>
            <m:ctrlPr>
              <w:rPr>
                <w:rFonts w:hint="eastAsia" w:ascii="DejaVu Math TeX Gyre" w:hAnsi="DejaVu Math TeX Gyre" w:eastAsia="仿宋_GB2312" w:cs="仿宋_GB2312"/>
                <w:sz w:val="32"/>
                <w:szCs w:val="32"/>
                <w:highlight w:val="none"/>
                <w:lang w:val="en-GB"/>
              </w:rPr>
            </m:ctrlPr>
          </m:sub>
          <m:sup>
            <m:ctrlPr>
              <w:rPr>
                <w:rFonts w:hint="eastAsia" w:ascii="DejaVu Math TeX Gyre" w:hAnsi="DejaVu Math TeX Gyre" w:eastAsia="仿宋_GB2312" w:cs="仿宋_GB2312"/>
                <w:sz w:val="32"/>
                <w:szCs w:val="32"/>
                <w:highlight w:val="none"/>
                <w:lang w:val="en-GB"/>
              </w:rPr>
            </m:ctrlPr>
          </m:sup>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Par</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nary>
      </m:oMath>
      <w:r>
        <w:rPr>
          <w:rFonts w:hint="eastAsia" w:ascii="仿宋_GB2312" w:hAnsi="仿宋_GB2312" w:eastAsia="仿宋_GB2312" w:cs="仿宋_GB2312"/>
          <w:szCs w:val="32"/>
          <w:highlight w:val="none"/>
          <w:lang w:val="en-GB"/>
        </w:rPr>
        <w:t>和</w:t>
      </w:r>
      <m:oMath>
        <m:nary>
          <m:naryPr>
            <m:chr m:val="∑"/>
            <m:limLoc m:val="undOvr"/>
            <m:subHide m:val="1"/>
            <m:supHide m:val="1"/>
            <m:ctrlPr>
              <w:rPr>
                <w:rFonts w:hint="eastAsia" w:ascii="DejaVu Math TeX Gyre" w:hAnsi="DejaVu Math TeX Gyre" w:eastAsia="仿宋_GB2312" w:cs="仿宋_GB2312"/>
                <w:sz w:val="32"/>
                <w:szCs w:val="32"/>
                <w:highlight w:val="none"/>
                <w:lang w:val="en-GB"/>
              </w:rPr>
            </m:ctrlPr>
          </m:naryPr>
          <m:sub>
            <m:ctrlPr>
              <w:rPr>
                <w:rFonts w:hint="eastAsia" w:ascii="DejaVu Math TeX Gyre" w:hAnsi="DejaVu Math TeX Gyre" w:eastAsia="仿宋_GB2312" w:cs="仿宋_GB2312"/>
                <w:sz w:val="32"/>
                <w:szCs w:val="32"/>
                <w:highlight w:val="none"/>
                <w:lang w:val="en-GB"/>
              </w:rPr>
            </m:ctrlPr>
          </m:sub>
          <m:sup>
            <m:ctrlPr>
              <w:rPr>
                <w:rFonts w:hint="eastAsia" w:ascii="DejaVu Math TeX Gyre" w:hAnsi="DejaVu Math TeX Gyre" w:eastAsia="仿宋_GB2312" w:cs="仿宋_GB2312"/>
                <w:sz w:val="32"/>
                <w:szCs w:val="32"/>
                <w:highlight w:val="none"/>
                <w:lang w:val="en-GB"/>
              </w:rPr>
            </m:ctrlPr>
          </m:sup>
          <m:e>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X</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U</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e>
        </m:nary>
      </m:oMath>
      <w:r>
        <w:rPr>
          <w:rFonts w:hint="eastAsia" w:ascii="仿宋_GB2312" w:hAnsi="仿宋_GB2312" w:eastAsia="仿宋_GB2312" w:cs="仿宋_GB2312"/>
          <w:szCs w:val="32"/>
          <w:highlight w:val="none"/>
          <w:lang w:val="en-GB"/>
        </w:rPr>
        <w:t>分别为分红保险和万能保险负债现金流流出的</w:t>
      </w:r>
      <w:r>
        <w:rPr>
          <w:rFonts w:hint="eastAsia" w:ascii="仿宋_GB2312" w:hAnsi="仿宋_GB2312" w:eastAsia="仿宋_GB2312" w:cs="仿宋_GB2312"/>
          <w:szCs w:val="32"/>
          <w:highlight w:val="none"/>
          <w:lang w:val="en-GB" w:eastAsia="zh-CN"/>
        </w:rPr>
        <w:t>基点</w:t>
      </w:r>
      <w:r>
        <w:rPr>
          <w:rFonts w:hint="eastAsia" w:ascii="仿宋_GB2312" w:hAnsi="仿宋_GB2312" w:eastAsia="仿宋_GB2312" w:cs="仿宋_GB2312"/>
          <w:szCs w:val="32"/>
          <w:highlight w:val="none"/>
          <w:lang w:val="en-GB"/>
        </w:rPr>
        <w:t>价值变动合计。</w:t>
      </w:r>
    </w:p>
    <w:p>
      <w:pPr>
        <w:pStyle w:val="3"/>
        <w:numPr>
          <w:ilvl w:val="-1"/>
          <w:numId w:val="0"/>
        </w:numPr>
        <w:spacing w:beforeLines="0" w:afterLines="0" w:line="560" w:lineRule="exact"/>
        <w:ind w:left="0" w:firstLine="642"/>
        <w:rPr>
          <w:rFonts w:hint="eastAsia" w:ascii="仿宋_GB2312" w:hAnsi="仿宋_GB2312" w:eastAsia="仿宋_GB2312" w:cs="仿宋_GB2312"/>
          <w:highlight w:val="none"/>
          <w:lang w:val="en-GB" w:eastAsia="zh-CN"/>
        </w:rPr>
      </w:pPr>
      <w:r>
        <w:rPr>
          <w:rFonts w:hint="eastAsia" w:ascii="仿宋_GB2312"/>
          <w:bCs/>
          <w:highlight w:val="none"/>
          <w:lang w:val="en-GB" w:eastAsia="zh-CN"/>
        </w:rPr>
        <w:t>（三）利差三（</w:t>
      </w:r>
      <w:r>
        <w:rPr>
          <w:rFonts w:hint="eastAsia" w:ascii="仿宋_GB2312" w:hAnsi="仿宋_GB2312" w:eastAsia="仿宋_GB2312" w:cs="仿宋_GB2312"/>
          <w:szCs w:val="32"/>
          <w:highlight w:val="none"/>
          <w:lang w:val="en-GB"/>
        </w:rPr>
        <w:t>新</w:t>
      </w:r>
      <w:r>
        <w:rPr>
          <w:rFonts w:hint="eastAsia" w:ascii="仿宋_GB2312" w:hAnsi="仿宋_GB2312" w:eastAsia="仿宋_GB2312" w:cs="仿宋_GB2312"/>
          <w:szCs w:val="32"/>
          <w:highlight w:val="none"/>
          <w:lang w:val="en-GB" w:eastAsia="zh-CN"/>
        </w:rPr>
        <w:t>增</w:t>
      </w:r>
      <w:r>
        <w:rPr>
          <w:rFonts w:hint="eastAsia" w:ascii="仿宋_GB2312" w:hAnsi="仿宋_GB2312" w:eastAsia="仿宋_GB2312" w:cs="仿宋_GB2312"/>
          <w:szCs w:val="32"/>
          <w:highlight w:val="none"/>
          <w:lang w:val="en-GB"/>
        </w:rPr>
        <w:t>固定收益类资产到期收益率与新业务负债最低要求</w:t>
      </w:r>
      <w:r>
        <w:rPr>
          <w:rFonts w:hint="eastAsia" w:ascii="仿宋_GB2312" w:hAnsi="仿宋_GB2312" w:eastAsia="仿宋_GB2312" w:cs="仿宋_GB2312"/>
          <w:szCs w:val="32"/>
          <w:highlight w:val="none"/>
        </w:rPr>
        <w:t>回报</w:t>
      </w:r>
      <w:r>
        <w:rPr>
          <w:rFonts w:hint="eastAsia" w:ascii="仿宋_GB2312" w:hAnsi="仿宋_GB2312" w:eastAsia="仿宋_GB2312" w:cs="仿宋_GB2312"/>
          <w:szCs w:val="32"/>
          <w:highlight w:val="none"/>
          <w:lang w:val="en-GB"/>
        </w:rPr>
        <w:t>率差额</w:t>
      </w:r>
      <w:r>
        <w:rPr>
          <w:rFonts w:hint="eastAsia" w:ascii="仿宋_GB2312"/>
          <w:bCs/>
          <w:highlight w:val="none"/>
          <w:lang w:val="en-GB" w:eastAsia="zh-CN"/>
        </w:rPr>
        <w:t>）</w:t>
      </w:r>
    </w:p>
    <w:p>
      <w:pPr>
        <w:widowControl/>
        <w:spacing w:beforeLines="0" w:afterLines="0" w:line="560" w:lineRule="exact"/>
        <w:ind w:firstLine="640"/>
        <w:rPr>
          <w:rFonts w:hint="eastAsia" w:ascii="仿宋_GB2312" w:hAnsi="仿宋_GB2312" w:eastAsia="仿宋_GB2312" w:cs="仿宋_GB2312"/>
          <w:szCs w:val="32"/>
          <w:highlight w:val="none"/>
          <w:lang w:val="en-GB" w:eastAsia="zh-CN"/>
        </w:rPr>
      </w:pPr>
      <w:r>
        <w:rPr>
          <w:rFonts w:hint="eastAsia" w:ascii="仿宋_GB2312" w:hAnsi="仿宋_GB2312" w:eastAsia="仿宋_GB2312" w:cs="仿宋_GB2312"/>
          <w:szCs w:val="32"/>
          <w:highlight w:val="none"/>
          <w:lang w:val="en-GB"/>
        </w:rPr>
        <w:t>衡量人身保险公司</w:t>
      </w:r>
      <w:r>
        <w:rPr>
          <w:rFonts w:hint="eastAsia" w:ascii="仿宋_GB2312" w:hAnsi="仿宋_GB2312" w:eastAsia="仿宋_GB2312" w:cs="仿宋_GB2312"/>
          <w:szCs w:val="32"/>
          <w:highlight w:val="none"/>
          <w:lang w:val="en-GB" w:eastAsia="zh-CN"/>
        </w:rPr>
        <w:t>在过去</w:t>
      </w:r>
      <w:r>
        <w:rPr>
          <w:rFonts w:hint="eastAsia" w:ascii="仿宋_GB2312" w:hAnsi="仿宋_GB2312" w:eastAsia="仿宋_GB2312" w:cs="仿宋_GB2312"/>
          <w:szCs w:val="32"/>
          <w:highlight w:val="none"/>
          <w:lang w:val="en-US" w:eastAsia="zh-CN"/>
        </w:rPr>
        <w:t>一年的</w:t>
      </w:r>
      <w:r>
        <w:rPr>
          <w:rFonts w:hint="eastAsia" w:ascii="仿宋_GB2312" w:hAnsi="仿宋_GB2312" w:eastAsia="仿宋_GB2312" w:cs="仿宋_GB2312"/>
          <w:szCs w:val="32"/>
          <w:highlight w:val="none"/>
          <w:lang w:val="en-GB"/>
        </w:rPr>
        <w:t>利差边际变动情况</w:t>
      </w:r>
      <w:r>
        <w:rPr>
          <w:rFonts w:hint="eastAsia" w:ascii="仿宋_GB2312" w:hAnsi="仿宋_GB2312" w:eastAsia="仿宋_GB2312" w:cs="仿宋_GB2312"/>
          <w:szCs w:val="32"/>
          <w:highlight w:val="none"/>
          <w:lang w:val="en-GB" w:eastAsia="zh-CN"/>
        </w:rPr>
        <w:t>。</w:t>
      </w:r>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eastAsia="zh-CN"/>
        </w:rPr>
        <w:t>利差三</w:t>
      </w:r>
      <w:r>
        <w:rPr>
          <w:rFonts w:hint="eastAsia" w:ascii="仿宋_GB2312" w:hAnsi="仿宋_GB2312" w:eastAsia="仿宋_GB2312" w:cs="仿宋_GB2312"/>
          <w:szCs w:val="32"/>
          <w:highlight w:val="none"/>
        </w:rPr>
        <w:t>=过去一年新增可计算现金流的固定收益类投资资产到期收益率-过去一年新业务负债最低要求回报率</w:t>
      </w:r>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eastAsia="zh-CN"/>
        </w:rPr>
        <w:t>其中，</w:t>
      </w:r>
      <w:r>
        <w:rPr>
          <w:rFonts w:hint="eastAsia" w:ascii="仿宋_GB2312" w:hAnsi="仿宋_GB2312" w:eastAsia="仿宋_GB2312" w:cs="仿宋_GB2312"/>
          <w:szCs w:val="32"/>
          <w:highlight w:val="none"/>
        </w:rPr>
        <w:t>固定收益类资产的到期收益率反映公司投资资产中最稳定的投资收益水平。</w:t>
      </w:r>
      <w:r>
        <w:rPr>
          <w:rFonts w:hint="eastAsia" w:ascii="仿宋_GB2312" w:hAnsi="仿宋_GB2312" w:eastAsia="仿宋_GB2312" w:cs="仿宋_GB2312"/>
          <w:szCs w:val="32"/>
          <w:highlight w:val="none"/>
          <w:lang w:val="en-GB"/>
        </w:rPr>
        <w:t>可计算现金流的固定收益类投资资产到期收益率为现金流折现值等于摊余成本时的年化折现率，计算方法如下：</w:t>
      </w:r>
    </w:p>
    <w:p>
      <w:pPr>
        <w:keepNext w:val="0"/>
        <w:keepLines w:val="0"/>
        <w:pageBreakBefore w:val="0"/>
        <w:widowControl w:val="0"/>
        <w:kinsoku/>
        <w:wordWrap/>
        <w:overflowPunct/>
        <w:topLinePunct w:val="0"/>
        <w:autoSpaceDE/>
        <w:autoSpaceDN/>
        <w:bidi w:val="0"/>
        <w:adjustRightInd w:val="0"/>
        <w:snapToGrid/>
        <w:spacing w:before="0" w:beforeLines="0" w:afterLines="0" w:line="560" w:lineRule="exact"/>
        <w:ind w:left="640" w:leftChars="200" w:firstLine="640"/>
        <w:textAlignment w:val="auto"/>
        <w:rPr>
          <w:rFonts w:hint="eastAsia" w:ascii="仿宋_GB2312" w:hAnsi="仿宋_GB2312" w:eastAsia="仿宋_GB2312" w:cs="仿宋_GB2312"/>
          <w:i/>
          <w:szCs w:val="32"/>
          <w:highlight w:val="none"/>
          <w:lang w:val="en-GB"/>
        </w:rPr>
      </w:pPr>
      <m:oMathPara>
        <m:oMath>
          <m:sSub>
            <m:sSubPr>
              <m:ctrlPr>
                <w:rPr>
                  <w:rFonts w:hint="eastAsia" w:ascii="DejaVu Math TeX Gyre" w:hAnsi="DejaVu Math TeX Gyre" w:eastAsia="仿宋_GB2312" w:cs="仿宋_GB2312"/>
                  <w:i/>
                  <w:sz w:val="32"/>
                  <w:szCs w:val="32"/>
                  <w:highlight w:val="none"/>
                  <w:lang w:val="en-GB"/>
                </w:rPr>
              </m:ctrlPr>
            </m:sSubPr>
            <m:e>
              <m:r>
                <w:rPr>
                  <w:rFonts w:hint="eastAsia" w:ascii="DejaVu Math TeX Gyre" w:hAnsi="DejaVu Math TeX Gyre" w:eastAsia="仿宋_GB2312" w:cs="仿宋_GB2312"/>
                  <w:szCs w:val="32"/>
                  <w:highlight w:val="none"/>
                  <w:lang w:val="en-GB"/>
                </w:rPr>
                <m:t>BV</m:t>
              </m:r>
              <m:ctrlPr>
                <w:rPr>
                  <w:rFonts w:hint="eastAsia" w:ascii="DejaVu Math TeX Gyre" w:hAnsi="DejaVu Math TeX Gyre" w:eastAsia="仿宋_GB2312" w:cs="仿宋_GB2312"/>
                  <w:i/>
                  <w:sz w:val="32"/>
                  <w:szCs w:val="32"/>
                  <w:highlight w:val="none"/>
                  <w:lang w:val="en-GB"/>
                </w:rPr>
              </m:ctrlPr>
            </m:e>
            <m:sub>
              <m:r>
                <w:rPr>
                  <w:rFonts w:hint="eastAsia" w:ascii="DejaVu Math TeX Gyre" w:hAnsi="DejaVu Math TeX Gyre" w:eastAsia="仿宋_GB2312" w:cs="仿宋_GB2312"/>
                  <w:szCs w:val="32"/>
                  <w:highlight w:val="none"/>
                  <w:lang w:val="en-GB"/>
                </w:rPr>
                <m:t>fix</m:t>
              </m:r>
              <m:ctrlPr>
                <w:rPr>
                  <w:rFonts w:hint="eastAsia" w:ascii="DejaVu Math TeX Gyre" w:hAnsi="DejaVu Math TeX Gyre" w:eastAsia="仿宋_GB2312" w:cs="仿宋_GB2312"/>
                  <w:i/>
                  <w:sz w:val="32"/>
                  <w:szCs w:val="32"/>
                  <w:highlight w:val="none"/>
                  <w:lang w:val="en-GB"/>
                </w:rPr>
              </m:ctrlPr>
            </m:sub>
          </m:sSub>
          <m:r>
            <w:rPr>
              <w:rFonts w:hint="eastAsia" w:ascii="DejaVu Math TeX Gyre" w:hAnsi="DejaVu Math TeX Gyre" w:eastAsia="仿宋_GB2312" w:cs="仿宋_GB2312"/>
              <w:szCs w:val="32"/>
              <w:highlight w:val="none"/>
              <w:lang w:val="en-GB"/>
            </w:rPr>
            <m:t>=</m:t>
          </m:r>
          <m:nary>
            <m:naryPr>
              <m:chr m:val="∑"/>
              <m:limLoc m:val="undOvr"/>
              <m:supHide m:val="1"/>
              <m:ctrlPr>
                <w:rPr>
                  <w:rFonts w:hint="eastAsia" w:ascii="DejaVu Math TeX Gyre" w:hAnsi="DejaVu Math TeX Gyre" w:eastAsia="仿宋_GB2312" w:cs="仿宋_GB2312"/>
                  <w:i/>
                  <w:sz w:val="32"/>
                  <w:szCs w:val="32"/>
                  <w:highlight w:val="none"/>
                  <w:lang w:val="en-GB"/>
                </w:rPr>
              </m:ctrlPr>
            </m:naryPr>
            <m:sub>
              <m:r>
                <w:rPr>
                  <w:rFonts w:hint="eastAsia" w:ascii="DejaVu Math TeX Gyre" w:hAnsi="DejaVu Math TeX Gyre" w:eastAsia="仿宋_GB2312" w:cs="仿宋_GB2312"/>
                  <w:szCs w:val="32"/>
                  <w:highlight w:val="none"/>
                  <w:lang w:val="en-GB"/>
                </w:rPr>
                <m:t>t</m:t>
              </m:r>
              <m:ctrlPr>
                <w:rPr>
                  <w:rFonts w:hint="eastAsia" w:ascii="DejaVu Math TeX Gyre" w:hAnsi="DejaVu Math TeX Gyre" w:eastAsia="仿宋_GB2312" w:cs="仿宋_GB2312"/>
                  <w:i/>
                  <w:sz w:val="32"/>
                  <w:szCs w:val="32"/>
                  <w:highlight w:val="none"/>
                  <w:lang w:val="en-GB"/>
                </w:rPr>
              </m:ctrlPr>
            </m:sub>
            <m:sup>
              <m:ctrlPr>
                <w:rPr>
                  <w:rFonts w:hint="eastAsia" w:ascii="DejaVu Math TeX Gyre" w:hAnsi="DejaVu Math TeX Gyre" w:eastAsia="仿宋_GB2312" w:cs="仿宋_GB2312"/>
                  <w:i/>
                  <w:sz w:val="32"/>
                  <w:szCs w:val="32"/>
                  <w:highlight w:val="none"/>
                  <w:lang w:val="en-GB"/>
                </w:rPr>
              </m:ctrlPr>
            </m:sup>
            <m:e>
              <m:f>
                <m:fPr>
                  <m:ctrlPr>
                    <w:rPr>
                      <w:rFonts w:hint="eastAsia" w:ascii="DejaVu Math TeX Gyre" w:hAnsi="DejaVu Math TeX Gyre" w:eastAsia="仿宋_GB2312" w:cs="仿宋_GB2312"/>
                      <w:i/>
                      <w:sz w:val="32"/>
                      <w:szCs w:val="32"/>
                      <w:highlight w:val="none"/>
                      <w:lang w:val="en-GB"/>
                    </w:rPr>
                  </m:ctrlPr>
                </m:fPr>
                <m:num>
                  <m:sSub>
                    <m:sSubPr>
                      <m:ctrlPr>
                        <w:rPr>
                          <w:rFonts w:hint="eastAsia" w:ascii="DejaVu Math TeX Gyre" w:hAnsi="DejaVu Math TeX Gyre" w:eastAsia="仿宋_GB2312" w:cs="仿宋_GB2312"/>
                          <w:i/>
                          <w:sz w:val="32"/>
                          <w:szCs w:val="32"/>
                          <w:highlight w:val="none"/>
                          <w:lang w:val="en-GB"/>
                        </w:rPr>
                      </m:ctrlPr>
                    </m:sSubPr>
                    <m:e>
                      <m:r>
                        <w:rPr>
                          <w:rFonts w:hint="eastAsia" w:ascii="DejaVu Math TeX Gyre" w:hAnsi="DejaVu Math TeX Gyre" w:eastAsia="仿宋_GB2312" w:cs="仿宋_GB2312"/>
                          <w:szCs w:val="32"/>
                          <w:highlight w:val="none"/>
                          <w:lang w:val="en-GB"/>
                        </w:rPr>
                        <m:t>CF</m:t>
                      </m:r>
                      <m:ctrlPr>
                        <w:rPr>
                          <w:rFonts w:hint="eastAsia" w:ascii="DejaVu Math TeX Gyre" w:hAnsi="DejaVu Math TeX Gyre" w:eastAsia="仿宋_GB2312" w:cs="仿宋_GB2312"/>
                          <w:i/>
                          <w:sz w:val="32"/>
                          <w:szCs w:val="32"/>
                          <w:highlight w:val="none"/>
                          <w:lang w:val="en-GB"/>
                        </w:rPr>
                      </m:ctrlPr>
                    </m:e>
                    <m:sub>
                      <m:r>
                        <w:rPr>
                          <w:rFonts w:hint="eastAsia" w:ascii="DejaVu Math TeX Gyre" w:hAnsi="DejaVu Math TeX Gyre" w:eastAsia="仿宋_GB2312" w:cs="仿宋_GB2312"/>
                          <w:szCs w:val="32"/>
                          <w:highlight w:val="none"/>
                          <w:lang w:val="en-GB"/>
                        </w:rPr>
                        <m:t>t</m:t>
                      </m:r>
                      <m:ctrlPr>
                        <w:rPr>
                          <w:rFonts w:hint="eastAsia" w:ascii="DejaVu Math TeX Gyre" w:hAnsi="DejaVu Math TeX Gyre" w:eastAsia="仿宋_GB2312" w:cs="仿宋_GB2312"/>
                          <w:i/>
                          <w:sz w:val="32"/>
                          <w:szCs w:val="32"/>
                          <w:highlight w:val="none"/>
                          <w:lang w:val="en-GB"/>
                        </w:rPr>
                      </m:ctrlPr>
                    </m:sub>
                  </m:sSub>
                  <m:ctrlPr>
                    <w:rPr>
                      <w:rFonts w:hint="eastAsia" w:ascii="DejaVu Math TeX Gyre" w:hAnsi="DejaVu Math TeX Gyre" w:eastAsia="仿宋_GB2312" w:cs="仿宋_GB2312"/>
                      <w:i/>
                      <w:sz w:val="32"/>
                      <w:szCs w:val="32"/>
                      <w:highlight w:val="none"/>
                      <w:lang w:val="en-GB"/>
                    </w:rPr>
                  </m:ctrlPr>
                </m:num>
                <m:den>
                  <m:sSup>
                    <m:sSupPr>
                      <m:ctrlPr>
                        <w:rPr>
                          <w:rFonts w:hint="eastAsia" w:ascii="DejaVu Math TeX Gyre" w:hAnsi="DejaVu Math TeX Gyre" w:eastAsia="仿宋_GB2312" w:cs="仿宋_GB2312"/>
                          <w:i/>
                          <w:sz w:val="32"/>
                          <w:szCs w:val="32"/>
                          <w:highlight w:val="none"/>
                          <w:lang w:val="en-GB"/>
                        </w:rPr>
                      </m:ctrlPr>
                    </m:sSupPr>
                    <m:e>
                      <m:d>
                        <m:dPr>
                          <m:begChr m:val="（"/>
                          <m:endChr m:val="）"/>
                          <m:ctrlPr>
                            <w:rPr>
                              <w:rFonts w:hint="eastAsia" w:ascii="DejaVu Math TeX Gyre" w:hAnsi="DejaVu Math TeX Gyre" w:eastAsia="仿宋_GB2312" w:cs="仿宋_GB2312"/>
                              <w:sz w:val="32"/>
                              <w:szCs w:val="32"/>
                              <w:highlight w:val="none"/>
                              <w:lang w:val="en-GB"/>
                            </w:rPr>
                          </m:ctrlPr>
                        </m:dPr>
                        <m:e>
                          <m:r>
                            <w:rPr>
                              <w:rFonts w:hint="eastAsia" w:ascii="DejaVu Math TeX Gyre" w:hAnsi="DejaVu Math TeX Gyre" w:eastAsia="仿宋_GB2312" w:cs="仿宋_GB2312"/>
                              <w:szCs w:val="32"/>
                              <w:highlight w:val="none"/>
                              <w:lang w:val="en-GB"/>
                            </w:rPr>
                            <m:t>1+YTM</m:t>
                          </m:r>
                          <m:ctrlPr>
                            <w:rPr>
                              <w:rFonts w:hint="eastAsia" w:ascii="DejaVu Math TeX Gyre" w:hAnsi="DejaVu Math TeX Gyre" w:eastAsia="仿宋_GB2312" w:cs="仿宋_GB2312"/>
                              <w:sz w:val="32"/>
                              <w:szCs w:val="32"/>
                              <w:highlight w:val="none"/>
                              <w:lang w:val="en-GB"/>
                            </w:rPr>
                          </m:ctrlPr>
                        </m:e>
                      </m:d>
                      <m:ctrlPr>
                        <w:rPr>
                          <w:rFonts w:hint="eastAsia" w:ascii="DejaVu Math TeX Gyre" w:hAnsi="DejaVu Math TeX Gyre" w:eastAsia="仿宋_GB2312" w:cs="仿宋_GB2312"/>
                          <w:i/>
                          <w:sz w:val="32"/>
                          <w:szCs w:val="32"/>
                          <w:highlight w:val="none"/>
                          <w:lang w:val="en-GB"/>
                        </w:rPr>
                      </m:ctrlPr>
                    </m:e>
                    <m:sup>
                      <m:r>
                        <w:rPr>
                          <w:rFonts w:hint="eastAsia" w:ascii="DejaVu Math TeX Gyre" w:hAnsi="DejaVu Math TeX Gyre" w:eastAsia="仿宋_GB2312" w:cs="仿宋_GB2312"/>
                          <w:szCs w:val="32"/>
                          <w:highlight w:val="none"/>
                          <w:lang w:val="en-GB"/>
                        </w:rPr>
                        <m:t>t</m:t>
                      </m:r>
                      <m:ctrlPr>
                        <w:rPr>
                          <w:rFonts w:hint="eastAsia" w:ascii="DejaVu Math TeX Gyre" w:hAnsi="DejaVu Math TeX Gyre" w:eastAsia="仿宋_GB2312" w:cs="仿宋_GB2312"/>
                          <w:i/>
                          <w:sz w:val="32"/>
                          <w:szCs w:val="32"/>
                          <w:highlight w:val="none"/>
                          <w:lang w:val="en-GB"/>
                        </w:rPr>
                      </m:ctrlPr>
                    </m:sup>
                  </m:sSup>
                  <m:ctrlPr>
                    <w:rPr>
                      <w:rFonts w:hint="eastAsia" w:ascii="DejaVu Math TeX Gyre" w:hAnsi="DejaVu Math TeX Gyre" w:eastAsia="仿宋_GB2312" w:cs="仿宋_GB2312"/>
                      <w:i/>
                      <w:sz w:val="32"/>
                      <w:szCs w:val="32"/>
                      <w:highlight w:val="none"/>
                      <w:lang w:val="en-GB"/>
                    </w:rPr>
                  </m:ctrlPr>
                </m:den>
              </m:f>
              <m:ctrlPr>
                <w:rPr>
                  <w:rFonts w:hint="eastAsia" w:ascii="DejaVu Math TeX Gyre" w:hAnsi="DejaVu Math TeX Gyre" w:eastAsia="仿宋_GB2312" w:cs="仿宋_GB2312"/>
                  <w:i/>
                  <w:sz w:val="32"/>
                  <w:szCs w:val="32"/>
                  <w:highlight w:val="none"/>
                  <w:lang w:val="en-GB"/>
                </w:rPr>
              </m:ctrlPr>
            </m:e>
          </m:nary>
        </m:oMath>
      </m:oMathPara>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参数说明：</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BV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fix</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为过去</w:t>
      </w:r>
      <w:r>
        <w:rPr>
          <w:rFonts w:hint="eastAsia" w:ascii="仿宋_GB2312" w:hAnsi="仿宋_GB2312" w:eastAsia="仿宋_GB2312" w:cs="仿宋_GB2312"/>
          <w:szCs w:val="32"/>
          <w:highlight w:val="none"/>
          <w:lang w:val="en-GB" w:eastAsia="zh-CN"/>
        </w:rPr>
        <w:t>一年</w:t>
      </w:r>
      <w:r>
        <w:rPr>
          <w:rFonts w:hint="eastAsia" w:ascii="仿宋_GB2312" w:hAnsi="仿宋_GB2312" w:eastAsia="仿宋_GB2312" w:cs="仿宋_GB2312"/>
          <w:szCs w:val="32"/>
          <w:highlight w:val="none"/>
          <w:lang w:val="en-GB"/>
        </w:rPr>
        <w:t>新增的可计算现金流的固定收益类投资资产的摊余成本；对于分类为</w:t>
      </w:r>
      <w:r>
        <w:rPr>
          <w:rFonts w:ascii="仿宋_GB2312" w:hAnsi="仿宋" w:eastAsia="仿宋_GB2312" w:cs="Arial"/>
          <w:sz w:val="32"/>
          <w:szCs w:val="32"/>
        </w:rPr>
        <w:t>以公允价值计量且其变动计入当期损益</w:t>
      </w:r>
      <w:r>
        <w:rPr>
          <w:rFonts w:hint="eastAsia" w:ascii="仿宋_GB2312" w:hAnsi="仿宋_GB2312" w:eastAsia="仿宋_GB2312" w:cs="仿宋_GB2312"/>
          <w:b w:val="0"/>
          <w:bCs w:val="0"/>
          <w:szCs w:val="32"/>
          <w:lang w:val="en-GB" w:eastAsia="zh-CN"/>
        </w:rPr>
        <w:t>（</w:t>
      </w:r>
      <w:r>
        <w:rPr>
          <w:rFonts w:hint="eastAsia" w:ascii="仿宋_GB2312" w:hAnsi="仿宋_GB2312" w:eastAsia="仿宋_GB2312" w:cs="仿宋_GB2312"/>
          <w:b w:val="0"/>
          <w:bCs w:val="0"/>
          <w:szCs w:val="32"/>
          <w:lang w:val="en-US" w:eastAsia="zh-CN"/>
        </w:rPr>
        <w:t>以下简称“</w:t>
      </w:r>
      <w:r>
        <w:rPr>
          <w:rFonts w:hint="eastAsia" w:ascii="仿宋_GB2312" w:hAnsi="仿宋_GB2312" w:eastAsia="仿宋_GB2312" w:cs="仿宋_GB2312"/>
          <w:b w:val="0"/>
          <w:bCs w:val="0"/>
          <w:szCs w:val="32"/>
          <w:lang w:val="en-GB"/>
        </w:rPr>
        <w:t>FVTPL</w:t>
      </w:r>
      <w:r>
        <w:rPr>
          <w:rFonts w:hint="eastAsia" w:ascii="仿宋_GB2312" w:hAnsi="仿宋_GB2312" w:eastAsia="仿宋_GB2312" w:cs="仿宋_GB2312"/>
          <w:b w:val="0"/>
          <w:bCs w:val="0"/>
          <w:szCs w:val="32"/>
          <w:lang w:val="en-GB" w:eastAsia="zh-CN"/>
        </w:rPr>
        <w:t>”）</w:t>
      </w:r>
      <w:r>
        <w:rPr>
          <w:rFonts w:hint="eastAsia" w:ascii="仿宋_GB2312" w:hAnsi="仿宋_GB2312" w:eastAsia="仿宋_GB2312" w:cs="仿宋_GB2312"/>
          <w:szCs w:val="32"/>
          <w:highlight w:val="none"/>
          <w:lang w:val="en-GB"/>
        </w:rPr>
        <w:t>的固定收益类投资资产，可以采用账面价值；</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CF</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t</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为过去</w:t>
      </w:r>
      <w:r>
        <w:rPr>
          <w:rFonts w:hint="eastAsia" w:ascii="仿宋_GB2312" w:hAnsi="仿宋_GB2312" w:eastAsia="仿宋_GB2312" w:cs="仿宋_GB2312"/>
          <w:szCs w:val="32"/>
          <w:highlight w:val="none"/>
          <w:lang w:val="en-GB" w:eastAsia="zh-CN"/>
        </w:rPr>
        <w:t>一年</w:t>
      </w:r>
      <w:r>
        <w:rPr>
          <w:rFonts w:hint="eastAsia" w:ascii="仿宋_GB2312" w:hAnsi="仿宋_GB2312" w:eastAsia="仿宋_GB2312" w:cs="仿宋_GB2312"/>
          <w:szCs w:val="32"/>
          <w:highlight w:val="none"/>
          <w:lang w:val="en-GB"/>
        </w:rPr>
        <w:t>新增的可计算现金流的固定收益类投资资产在未来</w:t>
      </w:r>
      <m:oMath>
        <m:r>
          <m:rPr>
            <m:sty m:val="p"/>
          </m:rPr>
          <w:rPr>
            <w:rFonts w:hint="eastAsia" w:ascii="DejaVu Math TeX Gyre" w:hAnsi="DejaVu Math TeX Gyre" w:eastAsia="仿宋_GB2312" w:cs="仿宋_GB2312"/>
            <w:szCs w:val="32"/>
            <w:highlight w:val="none"/>
            <w:lang w:val="en-GB"/>
          </w:rPr>
          <m:t>t</m:t>
        </m:r>
      </m:oMath>
      <w:r>
        <w:rPr>
          <w:rFonts w:hint="eastAsia" w:ascii="仿宋_GB2312" w:hAnsi="仿宋_GB2312" w:eastAsia="仿宋_GB2312" w:cs="仿宋_GB2312"/>
          <w:szCs w:val="32"/>
          <w:highlight w:val="none"/>
          <w:lang w:val="en-GB"/>
        </w:rPr>
        <w:t>时刻的票息和到期现金流；</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r>
          <m:rPr>
            <m:sty m:val="p"/>
          </m:rPr>
          <w:rPr>
            <w:rFonts w:hint="eastAsia" w:ascii="DejaVu Math TeX Gyre" w:hAnsi="DejaVu Math TeX Gyre" w:eastAsia="仿宋_GB2312" w:cs="仿宋_GB2312"/>
            <w:szCs w:val="32"/>
            <w:highlight w:val="none"/>
            <w:lang w:val="en-GB"/>
          </w:rPr>
          <m:t>YTM</m:t>
        </m:r>
      </m:oMath>
      <w:r>
        <w:rPr>
          <w:rFonts w:hint="eastAsia" w:ascii="仿宋_GB2312" w:hAnsi="仿宋_GB2312" w:eastAsia="仿宋_GB2312" w:cs="仿宋_GB2312"/>
          <w:szCs w:val="32"/>
          <w:highlight w:val="none"/>
          <w:lang w:val="en-GB"/>
        </w:rPr>
        <w:t>为过去</w:t>
      </w:r>
      <w:r>
        <w:rPr>
          <w:rFonts w:hint="eastAsia" w:ascii="仿宋_GB2312" w:hAnsi="仿宋_GB2312" w:eastAsia="仿宋_GB2312" w:cs="仿宋_GB2312"/>
          <w:szCs w:val="32"/>
          <w:highlight w:val="none"/>
          <w:lang w:val="en-GB" w:eastAsia="zh-CN"/>
        </w:rPr>
        <w:t>一年</w:t>
      </w:r>
      <w:r>
        <w:rPr>
          <w:rFonts w:hint="eastAsia" w:ascii="仿宋_GB2312" w:hAnsi="仿宋_GB2312" w:eastAsia="仿宋_GB2312" w:cs="仿宋_GB2312"/>
          <w:szCs w:val="32"/>
          <w:highlight w:val="none"/>
          <w:lang w:val="en-GB"/>
        </w:rPr>
        <w:t>新增的可计算现金流的固定收益类投资资产的到期收益率。</w:t>
      </w:r>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rPr>
        <w:t>新业务负债最低要求回报率反映了新业务期初利润为零时的最低要求回报</w:t>
      </w:r>
      <w:r>
        <w:rPr>
          <w:rFonts w:hint="eastAsia" w:ascii="仿宋_GB2312" w:hAnsi="仿宋_GB2312" w:eastAsia="仿宋_GB2312" w:cs="仿宋_GB2312"/>
          <w:szCs w:val="32"/>
          <w:highlight w:val="none"/>
          <w:lang w:val="en-GB"/>
        </w:rPr>
        <w:t>，包括保费收入和除非保证利益以外的全部支出，如费用、佣金、退保、赔付等。计算方法如下：</w:t>
      </w:r>
    </w:p>
    <w:p>
      <w:pPr>
        <w:keepNext w:val="0"/>
        <w:keepLines w:val="0"/>
        <w:pageBreakBefore w:val="0"/>
        <w:widowControl w:val="0"/>
        <w:kinsoku/>
        <w:wordWrap/>
        <w:overflowPunct/>
        <w:topLinePunct w:val="0"/>
        <w:autoSpaceDE/>
        <w:autoSpaceDN/>
        <w:bidi w:val="0"/>
        <w:adjustRightInd w:val="0"/>
        <w:snapToGrid/>
        <w:spacing w:before="0" w:beforeLines="0" w:afterLines="0" w:line="560" w:lineRule="exact"/>
        <w:ind w:left="640" w:leftChars="200" w:firstLine="640"/>
        <w:textAlignment w:val="auto"/>
        <w:rPr>
          <w:rFonts w:hint="eastAsia" w:ascii="仿宋_GB2312" w:hAnsi="仿宋_GB2312" w:eastAsia="仿宋_GB2312" w:cs="仿宋_GB2312"/>
          <w:i/>
          <w:szCs w:val="32"/>
          <w:highlight w:val="none"/>
          <w:lang w:val="en-GB"/>
        </w:rPr>
      </w:pPr>
      <m:oMathPara>
        <m:oMath>
          <m:r>
            <w:rPr>
              <w:rFonts w:hint="eastAsia" w:ascii="DejaVu Math TeX Gyre" w:hAnsi="DejaVu Math TeX Gyre" w:eastAsia="仿宋_GB2312" w:cs="仿宋_GB2312"/>
              <w:szCs w:val="32"/>
              <w:highlight w:val="none"/>
            </w:rPr>
            <m:t>0</m:t>
          </m:r>
          <m:r>
            <w:rPr>
              <w:rFonts w:hint="eastAsia" w:ascii="DejaVu Math TeX Gyre" w:hAnsi="DejaVu Math TeX Gyre" w:eastAsia="仿宋_GB2312" w:cs="仿宋_GB2312"/>
              <w:szCs w:val="32"/>
              <w:highlight w:val="none"/>
              <w:lang w:val="en-GB"/>
            </w:rPr>
            <m:t>=</m:t>
          </m:r>
          <m:nary>
            <m:naryPr>
              <m:chr m:val="∑"/>
              <m:limLoc m:val="undOvr"/>
              <m:supHide m:val="1"/>
              <m:ctrlPr>
                <w:rPr>
                  <w:rFonts w:hint="eastAsia" w:ascii="DejaVu Math TeX Gyre" w:hAnsi="DejaVu Math TeX Gyre" w:eastAsia="仿宋_GB2312" w:cs="仿宋_GB2312"/>
                  <w:i/>
                  <w:sz w:val="32"/>
                  <w:szCs w:val="32"/>
                  <w:highlight w:val="none"/>
                  <w:lang w:val="en-GB"/>
                </w:rPr>
              </m:ctrlPr>
            </m:naryPr>
            <m:sub>
              <m:r>
                <w:rPr>
                  <w:rFonts w:hint="eastAsia" w:ascii="DejaVu Math TeX Gyre" w:hAnsi="DejaVu Math TeX Gyre" w:eastAsia="仿宋_GB2312" w:cs="仿宋_GB2312"/>
                  <w:szCs w:val="32"/>
                  <w:highlight w:val="none"/>
                  <w:lang w:val="en-GB"/>
                </w:rPr>
                <m:t>t</m:t>
              </m:r>
              <m:ctrlPr>
                <w:rPr>
                  <w:rFonts w:hint="eastAsia" w:ascii="DejaVu Math TeX Gyre" w:hAnsi="DejaVu Math TeX Gyre" w:eastAsia="仿宋_GB2312" w:cs="仿宋_GB2312"/>
                  <w:i/>
                  <w:sz w:val="32"/>
                  <w:szCs w:val="32"/>
                  <w:highlight w:val="none"/>
                  <w:lang w:val="en-GB"/>
                </w:rPr>
              </m:ctrlPr>
            </m:sub>
            <m:sup>
              <m:ctrlPr>
                <w:rPr>
                  <w:rFonts w:hint="eastAsia" w:ascii="DejaVu Math TeX Gyre" w:hAnsi="DejaVu Math TeX Gyre" w:eastAsia="仿宋_GB2312" w:cs="仿宋_GB2312"/>
                  <w:i/>
                  <w:sz w:val="32"/>
                  <w:szCs w:val="32"/>
                  <w:highlight w:val="none"/>
                  <w:lang w:val="en-GB"/>
                </w:rPr>
              </m:ctrlPr>
            </m:sup>
            <m:e>
              <m:f>
                <m:fPr>
                  <m:ctrlPr>
                    <w:rPr>
                      <w:rFonts w:hint="eastAsia" w:ascii="DejaVu Math TeX Gyre" w:hAnsi="DejaVu Math TeX Gyre" w:eastAsia="仿宋_GB2312" w:cs="仿宋_GB2312"/>
                      <w:i/>
                      <w:sz w:val="32"/>
                      <w:szCs w:val="32"/>
                      <w:highlight w:val="none"/>
                      <w:lang w:val="en-GB"/>
                    </w:rPr>
                  </m:ctrlPr>
                </m:fPr>
                <m:num>
                  <m:sSub>
                    <m:sSubPr>
                      <m:ctrlPr>
                        <w:rPr>
                          <w:rFonts w:hint="eastAsia" w:ascii="DejaVu Math TeX Gyre" w:hAnsi="DejaVu Math TeX Gyre" w:eastAsia="仿宋_GB2312" w:cs="仿宋_GB2312"/>
                          <w:i/>
                          <w:sz w:val="32"/>
                          <w:szCs w:val="32"/>
                          <w:highlight w:val="none"/>
                          <w:lang w:val="en-GB"/>
                        </w:rPr>
                      </m:ctrlPr>
                    </m:sSubPr>
                    <m:e>
                      <m:r>
                        <w:rPr>
                          <w:rFonts w:hint="eastAsia" w:ascii="DejaVu Math TeX Gyre" w:hAnsi="DejaVu Math TeX Gyre" w:eastAsia="仿宋_GB2312" w:cs="仿宋_GB2312"/>
                          <w:szCs w:val="32"/>
                          <w:highlight w:val="none"/>
                          <w:lang w:val="en-GB"/>
                        </w:rPr>
                        <m:t>CF</m:t>
                      </m:r>
                      <m:ctrlPr>
                        <w:rPr>
                          <w:rFonts w:hint="eastAsia" w:ascii="DejaVu Math TeX Gyre" w:hAnsi="DejaVu Math TeX Gyre" w:eastAsia="仿宋_GB2312" w:cs="仿宋_GB2312"/>
                          <w:i/>
                          <w:sz w:val="32"/>
                          <w:szCs w:val="32"/>
                          <w:highlight w:val="none"/>
                          <w:lang w:val="en-GB"/>
                        </w:rPr>
                      </m:ctrlPr>
                    </m:e>
                    <m:sub>
                      <m:r>
                        <w:rPr>
                          <w:rFonts w:hint="eastAsia" w:ascii="DejaVu Math TeX Gyre" w:hAnsi="DejaVu Math TeX Gyre" w:eastAsia="仿宋_GB2312" w:cs="仿宋_GB2312"/>
                          <w:szCs w:val="32"/>
                          <w:highlight w:val="none"/>
                          <w:lang w:val="en-GB"/>
                        </w:rPr>
                        <m:t>t</m:t>
                      </m:r>
                      <m:ctrlPr>
                        <w:rPr>
                          <w:rFonts w:hint="eastAsia" w:ascii="DejaVu Math TeX Gyre" w:hAnsi="DejaVu Math TeX Gyre" w:eastAsia="仿宋_GB2312" w:cs="仿宋_GB2312"/>
                          <w:i/>
                          <w:sz w:val="32"/>
                          <w:szCs w:val="32"/>
                          <w:highlight w:val="none"/>
                          <w:lang w:val="en-GB"/>
                        </w:rPr>
                      </m:ctrlPr>
                    </m:sub>
                  </m:sSub>
                  <m:ctrlPr>
                    <w:rPr>
                      <w:rFonts w:hint="eastAsia" w:ascii="DejaVu Math TeX Gyre" w:hAnsi="DejaVu Math TeX Gyre" w:eastAsia="仿宋_GB2312" w:cs="仿宋_GB2312"/>
                      <w:i/>
                      <w:sz w:val="32"/>
                      <w:szCs w:val="32"/>
                      <w:highlight w:val="none"/>
                      <w:lang w:val="en-GB"/>
                    </w:rPr>
                  </m:ctrlPr>
                </m:num>
                <m:den>
                  <m:sSup>
                    <m:sSupPr>
                      <m:ctrlPr>
                        <w:rPr>
                          <w:rFonts w:hint="eastAsia" w:ascii="DejaVu Math TeX Gyre" w:hAnsi="DejaVu Math TeX Gyre" w:eastAsia="仿宋_GB2312" w:cs="仿宋_GB2312"/>
                          <w:i/>
                          <w:sz w:val="32"/>
                          <w:szCs w:val="32"/>
                          <w:highlight w:val="none"/>
                          <w:lang w:val="en-GB"/>
                        </w:rPr>
                      </m:ctrlPr>
                    </m:sSupPr>
                    <m:e>
                      <m:d>
                        <m:dPr>
                          <m:begChr m:val="（"/>
                          <m:endChr m:val="）"/>
                          <m:ctrlPr>
                            <w:rPr>
                              <w:rFonts w:hint="eastAsia" w:ascii="DejaVu Math TeX Gyre" w:hAnsi="DejaVu Math TeX Gyre" w:eastAsia="仿宋_GB2312" w:cs="仿宋_GB2312"/>
                              <w:sz w:val="32"/>
                              <w:szCs w:val="32"/>
                              <w:highlight w:val="none"/>
                              <w:lang w:val="en-GB"/>
                            </w:rPr>
                          </m:ctrlPr>
                        </m:dPr>
                        <m:e>
                          <m:r>
                            <w:rPr>
                              <w:rFonts w:hint="eastAsia" w:ascii="DejaVu Math TeX Gyre" w:hAnsi="DejaVu Math TeX Gyre" w:eastAsia="仿宋_GB2312" w:cs="仿宋_GB2312"/>
                              <w:szCs w:val="32"/>
                              <w:highlight w:val="none"/>
                              <w:lang w:val="en-GB"/>
                            </w:rPr>
                            <m:t>1+</m:t>
                          </m:r>
                          <m:r>
                            <w:rPr>
                              <w:rFonts w:hint="eastAsia" w:ascii="DejaVu Math TeX Gyre" w:hAnsi="DejaVu Math TeX Gyre" w:eastAsia="仿宋_GB2312" w:cs="仿宋_GB2312"/>
                              <w:szCs w:val="32"/>
                              <w:highlight w:val="none"/>
                            </w:rPr>
                            <m:t>MRI</m:t>
                          </m:r>
                          <m:r>
                            <w:rPr>
                              <w:rFonts w:hint="eastAsia" w:ascii="DejaVu Math TeX Gyre" w:hAnsi="DejaVu Math TeX Gyre" w:eastAsia="仿宋_GB2312" w:cs="仿宋_GB2312"/>
                              <w:szCs w:val="32"/>
                              <w:highlight w:val="none"/>
                              <w:lang w:val="en-GB"/>
                            </w:rPr>
                            <m:t>R</m:t>
                          </m:r>
                          <m:ctrlPr>
                            <w:rPr>
                              <w:rFonts w:hint="eastAsia" w:ascii="DejaVu Math TeX Gyre" w:hAnsi="DejaVu Math TeX Gyre" w:eastAsia="仿宋_GB2312" w:cs="仿宋_GB2312"/>
                              <w:sz w:val="32"/>
                              <w:szCs w:val="32"/>
                              <w:highlight w:val="none"/>
                              <w:lang w:val="en-GB"/>
                            </w:rPr>
                          </m:ctrlPr>
                        </m:e>
                      </m:d>
                      <m:ctrlPr>
                        <w:rPr>
                          <w:rFonts w:hint="eastAsia" w:ascii="DejaVu Math TeX Gyre" w:hAnsi="DejaVu Math TeX Gyre" w:eastAsia="仿宋_GB2312" w:cs="仿宋_GB2312"/>
                          <w:i/>
                          <w:sz w:val="32"/>
                          <w:szCs w:val="32"/>
                          <w:highlight w:val="none"/>
                          <w:lang w:val="en-GB"/>
                        </w:rPr>
                      </m:ctrlPr>
                    </m:e>
                    <m:sup>
                      <m:r>
                        <w:rPr>
                          <w:rFonts w:hint="eastAsia" w:ascii="DejaVu Math TeX Gyre" w:hAnsi="DejaVu Math TeX Gyre" w:eastAsia="仿宋_GB2312" w:cs="仿宋_GB2312"/>
                          <w:szCs w:val="32"/>
                          <w:highlight w:val="none"/>
                          <w:lang w:val="en-GB"/>
                        </w:rPr>
                        <m:t>t</m:t>
                      </m:r>
                      <m:ctrlPr>
                        <w:rPr>
                          <w:rFonts w:hint="eastAsia" w:ascii="DejaVu Math TeX Gyre" w:hAnsi="DejaVu Math TeX Gyre" w:eastAsia="仿宋_GB2312" w:cs="仿宋_GB2312"/>
                          <w:i/>
                          <w:sz w:val="32"/>
                          <w:szCs w:val="32"/>
                          <w:highlight w:val="none"/>
                          <w:lang w:val="en-GB"/>
                        </w:rPr>
                      </m:ctrlPr>
                    </m:sup>
                  </m:sSup>
                  <m:ctrlPr>
                    <w:rPr>
                      <w:rFonts w:hint="eastAsia" w:ascii="DejaVu Math TeX Gyre" w:hAnsi="DejaVu Math TeX Gyre" w:eastAsia="仿宋_GB2312" w:cs="仿宋_GB2312"/>
                      <w:i/>
                      <w:sz w:val="32"/>
                      <w:szCs w:val="32"/>
                      <w:highlight w:val="none"/>
                      <w:lang w:val="en-GB"/>
                    </w:rPr>
                  </m:ctrlPr>
                </m:den>
              </m:f>
              <m:ctrlPr>
                <w:rPr>
                  <w:rFonts w:hint="eastAsia" w:ascii="DejaVu Math TeX Gyre" w:hAnsi="DejaVu Math TeX Gyre" w:eastAsia="仿宋_GB2312" w:cs="仿宋_GB2312"/>
                  <w:i/>
                  <w:sz w:val="32"/>
                  <w:szCs w:val="32"/>
                  <w:highlight w:val="none"/>
                  <w:lang w:val="en-GB"/>
                </w:rPr>
              </m:ctrlPr>
            </m:e>
          </m:nary>
        </m:oMath>
      </m:oMathPara>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参数说明：</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CF</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t</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为新业务在t时刻的再保前净现金流，包括保费收入和最优估计假设下除非保证利益以外的全部支出，如费用、佣金、退保、赔付等。</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r>
          <m:rPr>
            <m:sty m:val="p"/>
          </m:rPr>
          <w:rPr>
            <w:rFonts w:hint="eastAsia" w:ascii="DejaVu Math TeX Gyre" w:hAnsi="DejaVu Math TeX Gyre" w:eastAsia="仿宋_GB2312" w:cs="仿宋_GB2312"/>
            <w:szCs w:val="32"/>
            <w:highlight w:val="none"/>
            <w:lang w:val="en-GB"/>
          </w:rPr>
          <m:t>MRIR</m:t>
        </m:r>
      </m:oMath>
      <w:r>
        <w:rPr>
          <w:rFonts w:hint="eastAsia" w:ascii="仿宋_GB2312" w:hAnsi="仿宋_GB2312" w:eastAsia="仿宋_GB2312" w:cs="仿宋_GB2312"/>
          <w:szCs w:val="32"/>
          <w:highlight w:val="none"/>
          <w:lang w:val="en-GB"/>
        </w:rPr>
        <w:t>为新业务最低要求回报率。</w:t>
      </w:r>
    </w:p>
    <w:p>
      <w:pPr>
        <w:pStyle w:val="3"/>
        <w:numPr>
          <w:ilvl w:val="-1"/>
          <w:numId w:val="0"/>
        </w:numPr>
        <w:spacing w:beforeLines="0" w:afterLines="0" w:line="560" w:lineRule="exact"/>
        <w:ind w:left="0" w:firstLine="642"/>
        <w:rPr>
          <w:rFonts w:hint="eastAsia" w:ascii="仿宋_GB2312"/>
          <w:bCs/>
          <w:highlight w:val="none"/>
          <w:lang w:val="en-GB" w:eastAsia="zh-CN"/>
        </w:rPr>
      </w:pPr>
      <w:r>
        <w:rPr>
          <w:rFonts w:hint="eastAsia" w:ascii="仿宋_GB2312"/>
          <w:bCs/>
          <w:highlight w:val="none"/>
          <w:lang w:val="en-GB" w:eastAsia="zh-CN"/>
        </w:rPr>
        <w:t>（四）利差四（会计投资收益率与负债保证成本率差额）</w:t>
      </w:r>
    </w:p>
    <w:p>
      <w:pPr>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衡量人身保险公司</w:t>
      </w:r>
      <w:r>
        <w:rPr>
          <w:rFonts w:hint="eastAsia" w:ascii="仿宋_GB2312" w:hAnsi="仿宋_GB2312" w:eastAsia="仿宋_GB2312" w:cs="仿宋_GB2312"/>
          <w:szCs w:val="32"/>
          <w:lang w:val="en-US" w:eastAsia="zh-CN"/>
        </w:rPr>
        <w:t>过去三年平均</w:t>
      </w:r>
      <w:r>
        <w:rPr>
          <w:rFonts w:hint="eastAsia" w:ascii="仿宋_GB2312" w:hAnsi="仿宋_GB2312" w:eastAsia="仿宋_GB2312" w:cs="仿宋_GB2312"/>
          <w:szCs w:val="32"/>
          <w:highlight w:val="none"/>
          <w:lang w:val="en-GB"/>
        </w:rPr>
        <w:t>已实现的投资收益能否覆盖</w:t>
      </w:r>
      <w:r>
        <w:rPr>
          <w:rFonts w:hint="eastAsia" w:ascii="仿宋_GB2312" w:hAnsi="仿宋_GB2312" w:eastAsia="仿宋_GB2312" w:cs="仿宋_GB2312"/>
          <w:szCs w:val="32"/>
          <w:highlight w:val="none"/>
          <w:lang w:val="en-GB" w:eastAsia="zh-CN"/>
        </w:rPr>
        <w:t>给予</w:t>
      </w:r>
      <w:r>
        <w:rPr>
          <w:rFonts w:hint="eastAsia" w:ascii="仿宋_GB2312" w:hAnsi="仿宋_GB2312" w:eastAsia="仿宋_GB2312" w:cs="仿宋_GB2312"/>
          <w:szCs w:val="32"/>
          <w:highlight w:val="none"/>
          <w:lang w:val="en-GB"/>
        </w:rPr>
        <w:t>客户</w:t>
      </w:r>
      <w:r>
        <w:rPr>
          <w:rFonts w:hint="eastAsia" w:ascii="仿宋_GB2312" w:hAnsi="仿宋_GB2312" w:eastAsia="仿宋_GB2312" w:cs="仿宋_GB2312"/>
          <w:szCs w:val="32"/>
          <w:highlight w:val="none"/>
          <w:lang w:val="en-GB" w:eastAsia="zh-CN"/>
        </w:rPr>
        <w:t>的</w:t>
      </w:r>
      <w:r>
        <w:rPr>
          <w:rFonts w:hint="eastAsia" w:ascii="仿宋_GB2312" w:hAnsi="仿宋_GB2312" w:eastAsia="仿宋_GB2312" w:cs="仿宋_GB2312"/>
          <w:szCs w:val="32"/>
          <w:highlight w:val="none"/>
          <w:lang w:val="en-GB"/>
        </w:rPr>
        <w:t>保证利益</w:t>
      </w:r>
      <w:r>
        <w:rPr>
          <w:rFonts w:hint="eastAsia" w:ascii="仿宋_GB2312" w:hAnsi="仿宋_GB2312" w:eastAsia="仿宋_GB2312" w:cs="仿宋_GB2312"/>
          <w:szCs w:val="32"/>
          <w:highlight w:val="none"/>
        </w:rPr>
        <w:t>，反映公司的</w:t>
      </w:r>
      <w:r>
        <w:rPr>
          <w:rFonts w:hint="eastAsia" w:ascii="仿宋_GB2312" w:hAnsi="仿宋_GB2312" w:eastAsia="仿宋_GB2312" w:cs="仿宋_GB2312"/>
          <w:szCs w:val="32"/>
          <w:highlight w:val="none"/>
          <w:lang w:eastAsia="zh-CN"/>
        </w:rPr>
        <w:t>中期</w:t>
      </w:r>
      <w:r>
        <w:rPr>
          <w:rFonts w:hint="eastAsia" w:ascii="仿宋_GB2312" w:hAnsi="仿宋_GB2312" w:eastAsia="仿宋_GB2312" w:cs="仿宋_GB2312"/>
          <w:szCs w:val="32"/>
          <w:highlight w:val="none"/>
        </w:rPr>
        <w:t>成本收益匹配情况。规模调整用于调节资产规模与负债规模的不匹配。</w:t>
      </w:r>
    </w:p>
    <w:p>
      <w:pPr>
        <w:widowControl/>
        <w:spacing w:beforeLines="0" w:afterLines="0" w:line="560" w:lineRule="exact"/>
        <w:ind w:firstLine="640"/>
        <w:rPr>
          <w:rFonts w:hint="eastAsia" w:ascii="仿宋_GB2312" w:hAnsi="仿宋_GB2312" w:eastAsia="仿宋_GB2312" w:cs="仿宋_GB2312"/>
          <w:szCs w:val="32"/>
          <w:highlight w:val="none"/>
          <w:lang w:val="en-GB" w:eastAsia="zh-CN"/>
        </w:rPr>
      </w:pPr>
      <w:r>
        <w:rPr>
          <w:rFonts w:hint="eastAsia" w:ascii="仿宋_GB2312" w:hAnsi="仿宋_GB2312" w:cs="仿宋_GB2312"/>
          <w:bCs/>
          <w:szCs w:val="32"/>
          <w:highlight w:val="none"/>
          <w:lang w:val="en-GB" w:eastAsia="zh-CN"/>
        </w:rPr>
        <w:t>利差四</w:t>
      </w:r>
      <w:r>
        <w:rPr>
          <w:rFonts w:hint="eastAsia" w:ascii="仿宋_GB2312" w:hAnsi="仿宋_GB2312" w:eastAsia="仿宋_GB2312" w:cs="仿宋_GB2312"/>
          <w:szCs w:val="32"/>
          <w:highlight w:val="none"/>
          <w:lang w:val="en-GB"/>
        </w:rPr>
        <w:t>=</w:t>
      </w:r>
      <w:r>
        <w:rPr>
          <w:rFonts w:hint="eastAsia" w:ascii="仿宋_GB2312" w:hAnsi="仿宋_GB2312" w:eastAsia="仿宋_GB2312" w:cs="仿宋_GB2312"/>
          <w:szCs w:val="32"/>
          <w:highlight w:val="none"/>
          <w:lang w:val="en-GB" w:eastAsia="zh-CN"/>
        </w:rPr>
        <w:t>过去</w:t>
      </w:r>
      <w:r>
        <w:rPr>
          <w:rFonts w:hint="eastAsia" w:ascii="仿宋_GB2312" w:hAnsi="仿宋_GB2312" w:eastAsia="仿宋_GB2312" w:cs="仿宋_GB2312"/>
          <w:szCs w:val="32"/>
          <w:highlight w:val="none"/>
          <w:lang w:val="en-GB"/>
        </w:rPr>
        <w:t>三年平均会计投资收益率-</w:t>
      </w:r>
      <w:r>
        <w:rPr>
          <w:rFonts w:hint="eastAsia" w:ascii="仿宋_GB2312" w:hAnsi="仿宋_GB2312" w:eastAsia="仿宋_GB2312" w:cs="仿宋_GB2312"/>
          <w:szCs w:val="32"/>
          <w:highlight w:val="none"/>
          <w:lang w:val="en-GB" w:eastAsia="zh-CN"/>
        </w:rPr>
        <w:t>过去三年平均</w:t>
      </w:r>
      <w:r>
        <w:rPr>
          <w:rFonts w:hint="eastAsia" w:ascii="仿宋_GB2312" w:hAnsi="仿宋_GB2312" w:eastAsia="仿宋_GB2312" w:cs="仿宋_GB2312"/>
          <w:szCs w:val="32"/>
          <w:highlight w:val="none"/>
          <w:lang w:val="en-GB"/>
        </w:rPr>
        <w:t>负债</w:t>
      </w:r>
      <w:r>
        <w:rPr>
          <w:rFonts w:hint="eastAsia" w:ascii="仿宋_GB2312" w:hAnsi="仿宋_GB2312" w:eastAsia="仿宋_GB2312" w:cs="仿宋_GB2312"/>
          <w:szCs w:val="32"/>
          <w:highlight w:val="none"/>
          <w:lang w:val="en-GB" w:eastAsia="zh-CN"/>
        </w:rPr>
        <w:t>保证</w:t>
      </w:r>
      <w:r>
        <w:rPr>
          <w:rFonts w:hint="eastAsia" w:ascii="仿宋_GB2312" w:hAnsi="仿宋_GB2312" w:eastAsia="仿宋_GB2312" w:cs="仿宋_GB2312"/>
          <w:szCs w:val="32"/>
          <w:highlight w:val="none"/>
          <w:lang w:val="en-GB"/>
        </w:rPr>
        <w:t>成本率×</w:t>
      </w:r>
      <w:r>
        <w:rPr>
          <w:rFonts w:hint="eastAsia" w:ascii="仿宋_GB2312" w:hAnsi="仿宋_GB2312" w:eastAsia="仿宋_GB2312" w:cs="仿宋_GB2312"/>
          <w:szCs w:val="32"/>
          <w:highlight w:val="none"/>
          <w:lang w:val="en-GB" w:eastAsia="zh-CN"/>
        </w:rPr>
        <w:t>（过去</w:t>
      </w:r>
      <w:r>
        <w:rPr>
          <w:rFonts w:hint="eastAsia" w:ascii="仿宋_GB2312" w:hAnsi="仿宋_GB2312" w:eastAsia="仿宋_GB2312" w:cs="仿宋_GB2312"/>
          <w:szCs w:val="32"/>
          <w:highlight w:val="none"/>
          <w:lang w:val="en-GB"/>
        </w:rPr>
        <w:t>三年负债平均规模÷</w:t>
      </w:r>
      <w:r>
        <w:rPr>
          <w:rFonts w:hint="eastAsia" w:ascii="仿宋_GB2312" w:hAnsi="仿宋_GB2312" w:eastAsia="仿宋_GB2312" w:cs="仿宋_GB2312"/>
          <w:szCs w:val="32"/>
          <w:highlight w:val="none"/>
          <w:lang w:val="en-GB" w:eastAsia="zh-CN"/>
        </w:rPr>
        <w:t>过去</w:t>
      </w:r>
      <w:r>
        <w:rPr>
          <w:rFonts w:hint="eastAsia" w:ascii="仿宋_GB2312" w:hAnsi="仿宋_GB2312" w:eastAsia="仿宋_GB2312" w:cs="仿宋_GB2312"/>
          <w:szCs w:val="32"/>
          <w:highlight w:val="none"/>
          <w:lang w:val="en-GB"/>
        </w:rPr>
        <w:t>三年资金运用平均净额</w:t>
      </w:r>
      <w:r>
        <w:rPr>
          <w:rFonts w:hint="eastAsia" w:ascii="仿宋_GB2312" w:hAnsi="仿宋_GB2312" w:eastAsia="仿宋_GB2312" w:cs="仿宋_GB2312"/>
          <w:szCs w:val="32"/>
          <w:highlight w:val="none"/>
          <w:lang w:val="en-GB" w:eastAsia="zh-CN"/>
        </w:rPr>
        <w:t>）</w:t>
      </w:r>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eastAsia="zh-CN"/>
        </w:rPr>
        <w:t>其中，会计投资收益率</w:t>
      </w:r>
      <w:r>
        <w:rPr>
          <w:rFonts w:hint="eastAsia" w:ascii="仿宋_GB2312" w:hAnsi="仿宋_GB2312" w:eastAsia="仿宋_GB2312" w:cs="仿宋_GB2312"/>
          <w:szCs w:val="32"/>
          <w:highlight w:val="none"/>
          <w:lang w:val="en-US" w:eastAsia="zh-CN"/>
        </w:rPr>
        <w:t>=会计投资收益</w:t>
      </w:r>
      <w:r>
        <w:rPr>
          <w:rFonts w:hint="default" w:ascii="Arial" w:hAnsi="Arial" w:eastAsia="仿宋_GB2312" w:cs="Arial"/>
          <w:szCs w:val="32"/>
          <w:highlight w:val="none"/>
          <w:lang w:val="en-US" w:eastAsia="zh-CN"/>
        </w:rPr>
        <w:t>÷</w:t>
      </w:r>
      <w:r>
        <w:rPr>
          <w:rFonts w:hint="eastAsia" w:ascii="仿宋_GB2312" w:hAnsi="仿宋_GB2312" w:eastAsia="仿宋_GB2312" w:cs="仿宋_GB2312"/>
          <w:szCs w:val="32"/>
          <w:highlight w:val="none"/>
          <w:lang w:val="en-US" w:eastAsia="zh-CN"/>
        </w:rPr>
        <w:t>资金运用平均净额，</w:t>
      </w:r>
      <w:r>
        <w:rPr>
          <w:rFonts w:hint="eastAsia" w:ascii="仿宋_GB2312" w:hAnsi="仿宋_GB2312" w:eastAsia="仿宋_GB2312" w:cs="仿宋_GB2312"/>
          <w:szCs w:val="32"/>
          <w:highlight w:val="none"/>
        </w:rPr>
        <w:t>会计投资收益反映公司当期已实现的财务投资收益，</w:t>
      </w:r>
      <w:r>
        <w:rPr>
          <w:rFonts w:hint="eastAsia" w:ascii="仿宋_GB2312" w:hAnsi="仿宋_GB2312" w:eastAsia="仿宋_GB2312" w:cs="仿宋_GB2312"/>
          <w:szCs w:val="32"/>
          <w:highlight w:val="none"/>
          <w:lang w:eastAsia="zh-CN"/>
        </w:rPr>
        <w:t>为综合</w:t>
      </w:r>
      <w:r>
        <w:rPr>
          <w:rFonts w:hint="eastAsia" w:ascii="仿宋_GB2312" w:hAnsi="仿宋_GB2312" w:eastAsia="仿宋_GB2312" w:cs="仿宋_GB2312"/>
          <w:szCs w:val="32"/>
          <w:highlight w:val="none"/>
        </w:rPr>
        <w:t>投资收益</w:t>
      </w:r>
      <w:r>
        <w:rPr>
          <w:rFonts w:hint="eastAsia" w:ascii="仿宋_GB2312" w:hAnsi="仿宋_GB2312" w:eastAsia="仿宋_GB2312" w:cs="仿宋_GB2312"/>
          <w:szCs w:val="32"/>
          <w:highlight w:val="none"/>
          <w:lang w:eastAsia="zh-CN"/>
        </w:rPr>
        <w:t>扣除</w:t>
      </w:r>
      <w:r>
        <w:rPr>
          <w:rFonts w:hint="eastAsia" w:ascii="仿宋_GB2312" w:hAnsi="仿宋_GB2312" w:eastAsia="仿宋_GB2312" w:cs="仿宋_GB2312"/>
          <w:szCs w:val="32"/>
          <w:highlight w:val="none"/>
        </w:rPr>
        <w:t>FVOCI金融资产的公允价值变动净额</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以及</w:t>
      </w:r>
      <w:r>
        <w:rPr>
          <w:rFonts w:hint="eastAsia" w:ascii="仿宋_GB2312" w:hAnsi="仿宋_GB2312" w:eastAsia="仿宋_GB2312" w:cs="仿宋_GB2312"/>
          <w:szCs w:val="32"/>
          <w:highlight w:val="none"/>
          <w:lang w:eastAsia="zh-CN"/>
        </w:rPr>
        <w:t>指定</w:t>
      </w:r>
      <w:r>
        <w:rPr>
          <w:rFonts w:hint="eastAsia" w:ascii="仿宋_GB2312" w:hAnsi="仿宋_GB2312" w:eastAsia="仿宋_GB2312" w:cs="仿宋_GB2312"/>
          <w:szCs w:val="32"/>
          <w:highlight w:val="none"/>
        </w:rPr>
        <w:t>为FVOCI的</w:t>
      </w:r>
      <w:r>
        <w:rPr>
          <w:rFonts w:hint="eastAsia" w:ascii="仿宋_GB2312" w:hAnsi="仿宋_GB2312" w:eastAsia="仿宋_GB2312" w:cs="仿宋_GB2312"/>
          <w:szCs w:val="32"/>
          <w:highlight w:val="none"/>
          <w:lang w:eastAsia="zh-CN"/>
        </w:rPr>
        <w:t>非交易性</w:t>
      </w:r>
      <w:r>
        <w:rPr>
          <w:rFonts w:hint="eastAsia" w:ascii="仿宋_GB2312" w:hAnsi="仿宋_GB2312" w:eastAsia="仿宋_GB2312" w:cs="仿宋_GB2312"/>
          <w:szCs w:val="32"/>
          <w:highlight w:val="none"/>
        </w:rPr>
        <w:t>权益工具</w:t>
      </w:r>
      <w:r>
        <w:rPr>
          <w:rFonts w:hint="eastAsia" w:ascii="仿宋_GB2312" w:hAnsi="仿宋_GB2312" w:eastAsia="仿宋_GB2312" w:cs="仿宋_GB2312"/>
          <w:szCs w:val="32"/>
          <w:highlight w:val="none"/>
          <w:lang w:eastAsia="zh-CN"/>
        </w:rPr>
        <w:t>投资</w:t>
      </w:r>
      <w:r>
        <w:rPr>
          <w:rFonts w:hint="eastAsia" w:ascii="仿宋_GB2312" w:hAnsi="仿宋_GB2312" w:eastAsia="仿宋_GB2312" w:cs="仿宋_GB2312"/>
          <w:szCs w:val="32"/>
          <w:highlight w:val="none"/>
        </w:rPr>
        <w:t>的</w:t>
      </w:r>
      <w:r>
        <w:rPr>
          <w:rFonts w:hint="eastAsia" w:ascii="仿宋_GB2312" w:hAnsi="仿宋_GB2312" w:eastAsia="仿宋_GB2312" w:cs="仿宋_GB2312"/>
          <w:szCs w:val="32"/>
          <w:highlight w:val="none"/>
          <w:lang w:eastAsia="zh-CN"/>
        </w:rPr>
        <w:t>处置损益</w:t>
      </w:r>
      <w:r>
        <w:rPr>
          <w:rFonts w:hint="eastAsia" w:ascii="仿宋_GB2312" w:hAnsi="仿宋_GB2312" w:eastAsia="仿宋_GB2312" w:cs="仿宋_GB2312"/>
          <w:szCs w:val="32"/>
          <w:highlight w:val="none"/>
        </w:rPr>
        <w:t>。</w:t>
      </w:r>
    </w:p>
    <w:p>
      <w:pPr>
        <w:spacing w:beforeLines="0" w:afterLines="0" w:line="560" w:lineRule="exact"/>
        <w:ind w:firstLine="640"/>
        <w:contextualSpacing/>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在计算普通账户利差</w:t>
      </w:r>
      <w:r>
        <w:rPr>
          <w:rFonts w:hint="eastAsia" w:ascii="仿宋_GB2312" w:hAnsi="仿宋_GB2312" w:eastAsia="仿宋_GB2312" w:cs="仿宋_GB2312"/>
          <w:szCs w:val="32"/>
          <w:highlight w:val="none"/>
          <w:lang w:eastAsia="zh-CN"/>
        </w:rPr>
        <w:t>四</w:t>
      </w:r>
      <w:r>
        <w:rPr>
          <w:rFonts w:hint="eastAsia" w:ascii="仿宋_GB2312" w:hAnsi="仿宋_GB2312" w:eastAsia="仿宋_GB2312" w:cs="仿宋_GB2312"/>
          <w:szCs w:val="32"/>
          <w:highlight w:val="none"/>
        </w:rPr>
        <w:t>时，应当在投资收益中扣除公司发行</w:t>
      </w:r>
      <w:r>
        <w:rPr>
          <w:rFonts w:hint="eastAsia" w:ascii="仿宋_GB2312" w:hAnsi="仿宋_GB2312" w:eastAsia="仿宋_GB2312" w:cs="仿宋_GB2312"/>
          <w:szCs w:val="32"/>
          <w:highlight w:val="none"/>
          <w:lang w:val="en-GB"/>
        </w:rPr>
        <w:t>次级债</w:t>
      </w:r>
      <w:r>
        <w:rPr>
          <w:rFonts w:hint="eastAsia" w:ascii="仿宋_GB2312" w:hAnsi="仿宋_GB2312" w:eastAsia="仿宋_GB2312" w:cs="仿宋_GB2312"/>
          <w:szCs w:val="32"/>
          <w:highlight w:val="none"/>
          <w:lang w:val="en-GB" w:eastAsia="zh-CN"/>
        </w:rPr>
        <w:t>、</w:t>
      </w:r>
      <w:r>
        <w:rPr>
          <w:rFonts w:hint="eastAsia" w:ascii="仿宋_GB2312" w:hAnsi="仿宋_GB2312" w:eastAsia="仿宋_GB2312" w:cs="仿宋_GB2312"/>
          <w:szCs w:val="32"/>
          <w:highlight w:val="none"/>
          <w:lang w:val="en-GB"/>
        </w:rPr>
        <w:t>资本补充债</w:t>
      </w:r>
      <w:r>
        <w:rPr>
          <w:rFonts w:hint="eastAsia" w:ascii="仿宋_GB2312" w:hAnsi="仿宋_GB2312" w:eastAsia="仿宋_GB2312" w:cs="仿宋_GB2312"/>
          <w:szCs w:val="32"/>
          <w:highlight w:val="none"/>
          <w:lang w:val="en-US" w:eastAsia="zh-CN"/>
        </w:rPr>
        <w:t>和无固定期限资本债账户</w:t>
      </w:r>
      <w:r>
        <w:rPr>
          <w:rFonts w:hint="eastAsia" w:ascii="仿宋_GB2312" w:hAnsi="仿宋_GB2312" w:eastAsia="仿宋_GB2312" w:cs="仿宋_GB2312"/>
          <w:szCs w:val="32"/>
          <w:highlight w:val="none"/>
          <w:lang w:val="en-GB"/>
        </w:rPr>
        <w:t>的利息</w:t>
      </w:r>
      <w:r>
        <w:rPr>
          <w:rFonts w:hint="eastAsia" w:ascii="仿宋_GB2312" w:hAnsi="仿宋_GB2312" w:eastAsia="仿宋_GB2312" w:cs="仿宋_GB2312"/>
          <w:szCs w:val="32"/>
          <w:highlight w:val="none"/>
        </w:rPr>
        <w:t>支出。</w:t>
      </w:r>
    </w:p>
    <w:p>
      <w:pPr>
        <w:widowControl/>
        <w:spacing w:beforeLines="0" w:afterLines="0" w:line="560" w:lineRule="exact"/>
        <w:ind w:firstLine="640"/>
        <w:rPr>
          <w:rFonts w:hint="eastAsia" w:ascii="仿宋_GB2312" w:hAnsi="仿宋_GB2312" w:eastAsia="仿宋_GB2312" w:cs="仿宋_GB2312"/>
          <w:b/>
          <w:bCs w:val="0"/>
          <w:i w:val="0"/>
          <w:szCs w:val="32"/>
          <w:highlight w:val="none"/>
          <w:lang w:val="en-GB" w:eastAsia="zh-CN"/>
        </w:rPr>
      </w:pPr>
      <w:r>
        <w:rPr>
          <w:rFonts w:hint="eastAsia" w:ascii="仿宋_GB2312" w:hAnsi="仿宋_GB2312" w:eastAsia="仿宋_GB2312" w:cs="仿宋_GB2312"/>
          <w:b/>
          <w:bCs/>
          <w:i w:val="0"/>
          <w:szCs w:val="32"/>
          <w:highlight w:val="none"/>
          <w:lang w:val="en-GB" w:eastAsia="zh-CN"/>
        </w:rPr>
        <w:t>（五）</w:t>
      </w:r>
      <w:r>
        <w:rPr>
          <w:rFonts w:hint="eastAsia" w:ascii="仿宋_GB2312" w:hAnsi="仿宋_GB2312" w:eastAsia="仿宋_GB2312" w:cs="仿宋_GB2312"/>
          <w:b/>
          <w:bCs/>
          <w:sz w:val="32"/>
          <w:szCs w:val="32"/>
          <w:highlight w:val="none"/>
        </w:rPr>
        <w:t>宏观经济压力情景下</w:t>
      </w:r>
      <w:r>
        <w:rPr>
          <w:rFonts w:hint="eastAsia" w:ascii="仿宋_GB2312" w:hAnsi="仿宋_GB2312" w:eastAsia="仿宋_GB2312" w:cs="仿宋_GB2312"/>
          <w:b/>
          <w:bCs w:val="0"/>
          <w:szCs w:val="32"/>
          <w:highlight w:val="none"/>
          <w:lang w:val="en-GB" w:eastAsia="zh-CN"/>
        </w:rPr>
        <w:t>会计投资收益率与负债资金成本率差额</w:t>
      </w:r>
    </w:p>
    <w:p>
      <w:pPr>
        <w:spacing w:beforeLines="0" w:afterLines="0" w:line="560" w:lineRule="exact"/>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衡量</w:t>
      </w:r>
      <w:r>
        <w:rPr>
          <w:rFonts w:hint="eastAsia" w:ascii="仿宋_GB2312" w:hAnsi="仿宋_GB2312" w:eastAsia="仿宋_GB2312" w:cs="仿宋_GB2312"/>
          <w:sz w:val="32"/>
          <w:szCs w:val="32"/>
          <w:highlight w:val="none"/>
          <w:lang w:val="en-US" w:eastAsia="zh-CN"/>
        </w:rPr>
        <w:t>人身</w:t>
      </w:r>
      <w:r>
        <w:rPr>
          <w:rFonts w:hint="eastAsia" w:ascii="仿宋_GB2312" w:hAnsi="仿宋_GB2312" w:eastAsia="仿宋_GB2312" w:cs="仿宋_GB2312"/>
          <w:sz w:val="32"/>
          <w:szCs w:val="32"/>
          <w:highlight w:val="none"/>
        </w:rPr>
        <w:t>保险公司在宏观经济形势恶化情景下，整体</w:t>
      </w:r>
      <w:r>
        <w:rPr>
          <w:rFonts w:hint="eastAsia" w:ascii="仿宋_GB2312" w:hAnsi="仿宋_GB2312" w:eastAsia="仿宋_GB2312" w:cs="仿宋_GB2312"/>
          <w:sz w:val="32"/>
          <w:szCs w:val="32"/>
          <w:highlight w:val="none"/>
          <w:lang w:val="en-US" w:eastAsia="zh-CN"/>
        </w:rPr>
        <w:t>会计投资收益水平</w:t>
      </w:r>
      <w:r>
        <w:rPr>
          <w:rFonts w:hint="eastAsia" w:ascii="仿宋_GB2312" w:hAnsi="仿宋_GB2312" w:eastAsia="仿宋_GB2312" w:cs="仿宋_GB2312"/>
          <w:sz w:val="32"/>
          <w:szCs w:val="32"/>
          <w:highlight w:val="none"/>
        </w:rPr>
        <w:t>能否覆盖公司</w:t>
      </w:r>
      <w:r>
        <w:rPr>
          <w:rFonts w:hint="eastAsia" w:ascii="仿宋_GB2312" w:hAnsi="仿宋_GB2312" w:eastAsia="仿宋_GB2312" w:cs="仿宋_GB2312"/>
          <w:szCs w:val="32"/>
          <w:highlight w:val="none"/>
          <w:lang w:val="en-GB" w:eastAsia="zh-CN"/>
        </w:rPr>
        <w:t>给予</w:t>
      </w:r>
      <w:r>
        <w:rPr>
          <w:rFonts w:hint="eastAsia" w:ascii="仿宋_GB2312" w:hAnsi="仿宋_GB2312" w:eastAsia="仿宋_GB2312" w:cs="仿宋_GB2312"/>
          <w:szCs w:val="32"/>
          <w:highlight w:val="none"/>
          <w:lang w:val="en-GB"/>
        </w:rPr>
        <w:t>客户的保证利益及非保证利益</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Cs w:val="32"/>
          <w:highlight w:val="none"/>
        </w:rPr>
        <w:t>规模调整用于调节资产规模与负债规模的不匹配。</w:t>
      </w:r>
    </w:p>
    <w:p>
      <w:pPr>
        <w:spacing w:beforeLines="0" w:afterLines="0" w:line="560" w:lineRule="exact"/>
        <w:ind w:firstLine="65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宏观经济压力情景下</w:t>
      </w:r>
      <w:r>
        <w:rPr>
          <w:rFonts w:hint="eastAsia" w:ascii="仿宋_GB2312" w:hAnsi="仿宋_GB2312" w:eastAsia="仿宋_GB2312" w:cs="仿宋_GB2312"/>
          <w:bCs/>
          <w:szCs w:val="32"/>
          <w:highlight w:val="none"/>
          <w:lang w:val="en-GB" w:eastAsia="zh-CN"/>
        </w:rPr>
        <w:t>会计投资收益率与负债资金成本率差额</w:t>
      </w:r>
      <w:r>
        <w:rPr>
          <w:rFonts w:hint="eastAsia" w:ascii="仿宋_GB2312" w:hAnsi="仿宋_GB2312" w:eastAsia="仿宋_GB2312" w:cs="仿宋_GB2312"/>
          <w:sz w:val="32"/>
          <w:szCs w:val="32"/>
          <w:highlight w:val="none"/>
        </w:rPr>
        <w:t>=宏观压力情景下</w:t>
      </w:r>
      <w:r>
        <w:rPr>
          <w:rFonts w:hint="eastAsia" w:ascii="仿宋_GB2312" w:hAnsi="仿宋_GB2312" w:eastAsia="仿宋_GB2312" w:cs="仿宋_GB2312"/>
          <w:sz w:val="32"/>
          <w:szCs w:val="32"/>
          <w:highlight w:val="none"/>
          <w:lang w:val="en-US" w:eastAsia="zh-CN"/>
        </w:rPr>
        <w:t>会计</w:t>
      </w:r>
      <w:r>
        <w:rPr>
          <w:rFonts w:hint="eastAsia" w:ascii="仿宋_GB2312" w:hAnsi="仿宋_GB2312" w:eastAsia="仿宋_GB2312" w:cs="仿宋_GB2312"/>
          <w:sz w:val="32"/>
          <w:szCs w:val="32"/>
          <w:highlight w:val="none"/>
        </w:rPr>
        <w:t>投资收益率</w:t>
      </w:r>
      <w:r>
        <w:rPr>
          <w:rFonts w:hint="eastAsia" w:ascii="仿宋_GB2312" w:hAnsi="仿宋_GB2312" w:eastAsia="仿宋_GB2312" w:cs="仿宋_GB2312"/>
          <w:sz w:val="32"/>
          <w:szCs w:val="32"/>
          <w:highlight w:val="none"/>
          <w:lang w:val="en-US" w:eastAsia="zh-CN"/>
        </w:rPr>
        <w:t>-投资资产损失率-</w:t>
      </w:r>
      <w:r>
        <w:rPr>
          <w:rFonts w:hint="eastAsia" w:ascii="仿宋_GB2312" w:hAnsi="仿宋_GB2312" w:eastAsia="仿宋_GB2312" w:cs="仿宋_GB2312"/>
          <w:sz w:val="32"/>
          <w:szCs w:val="32"/>
          <w:highlight w:val="none"/>
        </w:rPr>
        <w:t>负债资金成本率</w:t>
      </w:r>
      <w:r>
        <w:rPr>
          <w:rFonts w:hint="eastAsia" w:ascii="仿宋_GB2312" w:hAnsi="仿宋_GB2312" w:eastAsia="仿宋_GB2312" w:cs="仿宋_GB2312"/>
          <w:sz w:val="32"/>
          <w:szCs w:val="32"/>
          <w:highlight w:val="none"/>
          <w:lang w:val="en-US" w:eastAsia="zh-CN"/>
        </w:rPr>
        <w:t>×（负债平均规模÷资金运用平均净额）</w:t>
      </w:r>
    </w:p>
    <w:p>
      <w:pPr>
        <w:spacing w:beforeLines="0" w:afterLines="0" w:line="560" w:lineRule="exact"/>
        <w:ind w:firstLine="640"/>
        <w:contextualSpacing/>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在计算普通账户</w:t>
      </w:r>
      <w:r>
        <w:rPr>
          <w:rFonts w:hint="eastAsia" w:ascii="仿宋_GB2312" w:hAnsi="仿宋_GB2312" w:eastAsia="仿宋_GB2312" w:cs="仿宋_GB2312"/>
          <w:bCs/>
          <w:szCs w:val="32"/>
          <w:highlight w:val="none"/>
          <w:lang w:val="en-GB" w:eastAsia="zh-CN"/>
        </w:rPr>
        <w:t>利差</w:t>
      </w:r>
      <w:r>
        <w:rPr>
          <w:rFonts w:hint="eastAsia" w:ascii="仿宋_GB2312" w:hAnsi="仿宋_GB2312" w:eastAsia="仿宋_GB2312" w:cs="仿宋_GB2312"/>
          <w:szCs w:val="32"/>
          <w:highlight w:val="none"/>
        </w:rPr>
        <w:t>时，应当在投资收益中扣除公司发行</w:t>
      </w:r>
      <w:r>
        <w:rPr>
          <w:rFonts w:hint="eastAsia" w:ascii="仿宋_GB2312" w:hAnsi="仿宋_GB2312" w:eastAsia="仿宋_GB2312" w:cs="仿宋_GB2312"/>
          <w:szCs w:val="32"/>
          <w:highlight w:val="none"/>
          <w:lang w:val="en-GB"/>
        </w:rPr>
        <w:t>次级债</w:t>
      </w:r>
      <w:r>
        <w:rPr>
          <w:rFonts w:hint="eastAsia" w:ascii="仿宋_GB2312" w:hAnsi="仿宋_GB2312" w:eastAsia="仿宋_GB2312" w:cs="仿宋_GB2312"/>
          <w:szCs w:val="32"/>
          <w:highlight w:val="none"/>
          <w:lang w:val="en-GB" w:eastAsia="zh-CN"/>
        </w:rPr>
        <w:t>、</w:t>
      </w:r>
      <w:r>
        <w:rPr>
          <w:rFonts w:hint="eastAsia" w:ascii="仿宋_GB2312" w:hAnsi="仿宋_GB2312" w:eastAsia="仿宋_GB2312" w:cs="仿宋_GB2312"/>
          <w:szCs w:val="32"/>
          <w:highlight w:val="none"/>
          <w:lang w:val="en-GB"/>
        </w:rPr>
        <w:t>资本补充债</w:t>
      </w:r>
      <w:r>
        <w:rPr>
          <w:rFonts w:hint="eastAsia" w:ascii="仿宋_GB2312" w:hAnsi="仿宋_GB2312" w:eastAsia="仿宋_GB2312" w:cs="仿宋_GB2312"/>
          <w:szCs w:val="32"/>
          <w:highlight w:val="none"/>
          <w:lang w:val="en-US" w:eastAsia="zh-CN"/>
        </w:rPr>
        <w:t>和无固定期限资本债账户</w:t>
      </w:r>
      <w:r>
        <w:rPr>
          <w:rFonts w:hint="eastAsia" w:ascii="仿宋_GB2312" w:hAnsi="仿宋_GB2312" w:eastAsia="仿宋_GB2312" w:cs="仿宋_GB2312"/>
          <w:szCs w:val="32"/>
          <w:highlight w:val="none"/>
          <w:lang w:val="en-GB"/>
        </w:rPr>
        <w:t>的利息</w:t>
      </w:r>
      <w:r>
        <w:rPr>
          <w:rFonts w:hint="eastAsia" w:ascii="仿宋_GB2312" w:hAnsi="仿宋_GB2312" w:eastAsia="仿宋_GB2312" w:cs="仿宋_GB2312"/>
          <w:szCs w:val="32"/>
          <w:highlight w:val="none"/>
        </w:rPr>
        <w:t>支出。</w:t>
      </w:r>
    </w:p>
    <w:p>
      <w:pPr>
        <w:widowControl/>
        <w:spacing w:beforeLines="0" w:afterLines="0" w:line="560" w:lineRule="exact"/>
        <w:ind w:firstLine="640"/>
        <w:rPr>
          <w:rFonts w:hint="eastAsia" w:ascii="仿宋_GB2312" w:hAnsi="仿宋_GB2312" w:eastAsia="仿宋_GB2312" w:cs="仿宋_GB2312"/>
          <w:b/>
          <w:bCs/>
          <w:i w:val="0"/>
          <w:szCs w:val="32"/>
          <w:highlight w:val="none"/>
          <w:lang w:val="en-US" w:eastAsia="zh-CN"/>
        </w:rPr>
      </w:pPr>
      <w:r>
        <w:rPr>
          <w:rFonts w:hint="eastAsia" w:ascii="仿宋_GB2312" w:hAnsi="仿宋_GB2312" w:eastAsia="仿宋_GB2312" w:cs="仿宋_GB2312"/>
          <w:b/>
          <w:bCs/>
          <w:i w:val="0"/>
          <w:szCs w:val="32"/>
          <w:highlight w:val="none"/>
          <w:lang w:val="en-US" w:eastAsia="zh-CN"/>
        </w:rPr>
        <w:t>（六）</w:t>
      </w:r>
      <w:r>
        <w:rPr>
          <w:rFonts w:hint="eastAsia" w:ascii="仿宋_GB2312" w:hAnsi="仿宋_GB2312" w:eastAsia="仿宋_GB2312" w:cs="仿宋_GB2312"/>
          <w:b/>
          <w:bCs/>
          <w:color w:val="auto"/>
          <w:kern w:val="2"/>
          <w:sz w:val="32"/>
          <w:szCs w:val="32"/>
          <w:highlight w:val="none"/>
          <w:lang w:bidi="ar"/>
        </w:rPr>
        <w:t>利率上行压力情景下</w:t>
      </w:r>
      <w:r>
        <w:rPr>
          <w:rFonts w:hint="eastAsia" w:ascii="仿宋_GB2312"/>
          <w:b/>
          <w:bCs w:val="0"/>
          <w:szCs w:val="32"/>
          <w:highlight w:val="none"/>
          <w:lang w:val="en-GB" w:eastAsia="zh-CN"/>
        </w:rPr>
        <w:t>会计投资收益率与负债资金成本率差额</w:t>
      </w:r>
    </w:p>
    <w:p>
      <w:pPr>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 w:val="32"/>
          <w:szCs w:val="32"/>
          <w:highlight w:val="none"/>
        </w:rPr>
        <w:t>衡量</w:t>
      </w:r>
      <w:r>
        <w:rPr>
          <w:rFonts w:hint="eastAsia" w:ascii="仿宋_GB2312" w:hAnsi="仿宋_GB2312" w:eastAsia="仿宋_GB2312" w:cs="仿宋_GB2312"/>
          <w:sz w:val="32"/>
          <w:szCs w:val="32"/>
          <w:highlight w:val="none"/>
          <w:lang w:val="en-US" w:eastAsia="zh-CN"/>
        </w:rPr>
        <w:t>人身</w:t>
      </w:r>
      <w:r>
        <w:rPr>
          <w:rFonts w:hint="eastAsia" w:ascii="仿宋_GB2312" w:hAnsi="仿宋_GB2312" w:eastAsia="仿宋_GB2312" w:cs="仿宋_GB2312"/>
          <w:sz w:val="32"/>
          <w:szCs w:val="32"/>
          <w:highlight w:val="none"/>
        </w:rPr>
        <w:t>保险公司</w:t>
      </w:r>
      <w:r>
        <w:rPr>
          <w:rFonts w:hint="eastAsia" w:ascii="仿宋_GB2312" w:hAnsi="仿宋_GB2312" w:eastAsia="仿宋_GB2312" w:cs="仿宋_GB2312"/>
          <w:sz w:val="32"/>
          <w:szCs w:val="32"/>
          <w:highlight w:val="none"/>
          <w:lang w:val="en-US" w:eastAsia="zh-CN"/>
        </w:rPr>
        <w:t>未来三年</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val="en-US" w:eastAsia="zh-CN"/>
        </w:rPr>
        <w:t>利率上行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负债资金成本随之跃升的压力</w:t>
      </w:r>
      <w:r>
        <w:rPr>
          <w:rFonts w:hint="eastAsia" w:ascii="仿宋_GB2312" w:hAnsi="仿宋_GB2312" w:eastAsia="仿宋_GB2312" w:cs="仿宋_GB2312"/>
          <w:sz w:val="32"/>
          <w:szCs w:val="32"/>
          <w:highlight w:val="none"/>
        </w:rPr>
        <w:t>情景下</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Cs w:val="32"/>
          <w:highlight w:val="none"/>
          <w:lang w:val="en-GB"/>
        </w:rPr>
        <w:t>已实现的投资收益</w:t>
      </w:r>
      <w:r>
        <w:rPr>
          <w:rFonts w:hint="eastAsia" w:ascii="仿宋_GB2312" w:hAnsi="仿宋_GB2312" w:eastAsia="仿宋_GB2312" w:cs="仿宋_GB2312"/>
          <w:sz w:val="32"/>
          <w:szCs w:val="32"/>
          <w:highlight w:val="none"/>
        </w:rPr>
        <w:t>能否覆盖公司</w:t>
      </w:r>
      <w:r>
        <w:rPr>
          <w:rFonts w:hint="eastAsia" w:ascii="仿宋_GB2312" w:hAnsi="仿宋_GB2312" w:eastAsia="仿宋_GB2312" w:cs="仿宋_GB2312"/>
          <w:szCs w:val="32"/>
          <w:highlight w:val="none"/>
          <w:lang w:val="en-GB" w:eastAsia="zh-CN"/>
        </w:rPr>
        <w:t>给予</w:t>
      </w:r>
      <w:r>
        <w:rPr>
          <w:rFonts w:hint="eastAsia" w:ascii="仿宋_GB2312" w:hAnsi="仿宋_GB2312" w:eastAsia="仿宋_GB2312" w:cs="仿宋_GB2312"/>
          <w:szCs w:val="32"/>
          <w:highlight w:val="none"/>
          <w:lang w:val="en-GB"/>
        </w:rPr>
        <w:t>客户的保证利益</w:t>
      </w:r>
      <w:r>
        <w:rPr>
          <w:rFonts w:hint="eastAsia" w:ascii="仿宋_GB2312" w:hAnsi="仿宋_GB2312" w:eastAsia="仿宋_GB2312" w:cs="仿宋_GB2312"/>
          <w:szCs w:val="32"/>
          <w:highlight w:val="none"/>
          <w:lang w:val="en-US" w:eastAsia="zh-CN"/>
        </w:rPr>
        <w:t>和非保证利益</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Cs w:val="32"/>
          <w:highlight w:val="none"/>
        </w:rPr>
        <w:t>规模调整用于调节资产规模与负债规模的不匹配。</w:t>
      </w:r>
    </w:p>
    <w:p>
      <w:pPr>
        <w:widowControl/>
        <w:spacing w:beforeLines="0" w:afterLines="0" w:line="560" w:lineRule="exact"/>
        <w:ind w:firstLine="64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kern w:val="2"/>
          <w:sz w:val="32"/>
          <w:szCs w:val="32"/>
          <w:highlight w:val="none"/>
          <w:lang w:bidi="ar"/>
        </w:rPr>
        <w:t>利率上行压力情景下</w:t>
      </w:r>
      <w:r>
        <w:rPr>
          <w:rFonts w:hint="eastAsia" w:ascii="仿宋_GB2312" w:hAnsi="仿宋_GB2312" w:eastAsia="仿宋_GB2312" w:cs="仿宋_GB2312"/>
          <w:sz w:val="32"/>
          <w:szCs w:val="32"/>
          <w:highlight w:val="none"/>
          <w:lang w:val="en-US" w:eastAsia="zh-CN"/>
        </w:rPr>
        <w:t>未来第X年</w:t>
      </w:r>
      <w:r>
        <w:rPr>
          <w:rFonts w:hint="eastAsia" w:ascii="仿宋_GB2312"/>
          <w:bCs/>
          <w:szCs w:val="32"/>
          <w:highlight w:val="none"/>
          <w:lang w:val="en-GB" w:eastAsia="zh-CN"/>
        </w:rPr>
        <w:t>会计投资收益率与负债资金成本率差额</w:t>
      </w:r>
      <w:r>
        <w:rPr>
          <w:rFonts w:hint="eastAsia" w:ascii="仿宋_GB2312" w:hAnsi="仿宋_GB2312" w:eastAsia="仿宋_GB2312" w:cs="仿宋_GB2312"/>
          <w:sz w:val="32"/>
          <w:szCs w:val="32"/>
          <w:highlight w:val="none"/>
        </w:rPr>
        <w:t>=预测</w:t>
      </w:r>
      <w:r>
        <w:rPr>
          <w:rFonts w:hint="eastAsia" w:ascii="仿宋_GB2312" w:hAnsi="仿宋_GB2312" w:eastAsia="仿宋_GB2312" w:cs="仿宋_GB2312"/>
          <w:sz w:val="32"/>
          <w:szCs w:val="32"/>
          <w:highlight w:val="none"/>
          <w:lang w:val="en-US" w:eastAsia="zh-CN"/>
        </w:rPr>
        <w:t>会计投资收益率</w:t>
      </w:r>
      <w:r>
        <w:rPr>
          <w:rFonts w:hint="eastAsia" w:ascii="仿宋_GB2312" w:hAnsi="仿宋_GB2312" w:eastAsia="仿宋_GB2312" w:cs="仿宋_GB2312"/>
          <w:sz w:val="32"/>
          <w:szCs w:val="32"/>
          <w:highlight w:val="none"/>
        </w:rPr>
        <w:t>-预测未来第X年</w:t>
      </w:r>
      <w:r>
        <w:rPr>
          <w:rFonts w:hint="eastAsia" w:ascii="仿宋_GB2312" w:hAnsi="仿宋_GB2312" w:eastAsia="仿宋_GB2312" w:cs="仿宋_GB2312"/>
          <w:sz w:val="32"/>
          <w:szCs w:val="32"/>
          <w:highlight w:val="none"/>
          <w:lang w:val="en-US" w:eastAsia="zh-CN"/>
        </w:rPr>
        <w:t>寿险业务负债资金</w:t>
      </w:r>
      <w:r>
        <w:rPr>
          <w:rFonts w:hint="eastAsia" w:ascii="仿宋_GB2312" w:hAnsi="仿宋_GB2312" w:eastAsia="仿宋_GB2312" w:cs="仿宋_GB2312"/>
          <w:sz w:val="32"/>
          <w:szCs w:val="32"/>
          <w:highlight w:val="none"/>
        </w:rPr>
        <w:t>成本率×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预测未来第X年度负债平均规模÷预测未来第X年度</w:t>
      </w:r>
      <w:r>
        <w:rPr>
          <w:rFonts w:hint="eastAsia" w:ascii="仿宋_GB2312" w:hAnsi="仿宋_GB2312" w:eastAsia="仿宋_GB2312" w:cs="仿宋_GB2312"/>
          <w:sz w:val="32"/>
          <w:szCs w:val="32"/>
          <w:highlight w:val="none"/>
          <w:lang w:val="en-US" w:eastAsia="zh-CN"/>
        </w:rPr>
        <w:t>资金运用平均净额</w:t>
      </w:r>
      <w:r>
        <w:rPr>
          <w:rFonts w:hint="eastAsia" w:ascii="仿宋_GB2312" w:hAnsi="仿宋_GB2312" w:eastAsia="仿宋_GB2312" w:cs="仿宋_GB2312"/>
          <w:sz w:val="32"/>
          <w:szCs w:val="32"/>
          <w:highlight w:val="none"/>
          <w:lang w:eastAsia="zh-CN"/>
        </w:rPr>
        <w:t>）</w:t>
      </w:r>
    </w:p>
    <w:p>
      <w:pPr>
        <w:spacing w:beforeLines="0" w:afterLines="0" w:line="560" w:lineRule="exact"/>
        <w:ind w:firstLine="640"/>
        <w:contextualSpacing/>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在计算普通账户</w:t>
      </w:r>
      <w:r>
        <w:rPr>
          <w:rFonts w:hint="eastAsia" w:ascii="仿宋_GB2312"/>
          <w:bCs/>
          <w:szCs w:val="32"/>
          <w:highlight w:val="none"/>
          <w:lang w:val="en-GB" w:eastAsia="zh-CN"/>
        </w:rPr>
        <w:t>利差</w:t>
      </w:r>
      <w:r>
        <w:rPr>
          <w:rFonts w:hint="eastAsia" w:ascii="仿宋_GB2312" w:hAnsi="仿宋_GB2312" w:eastAsia="仿宋_GB2312" w:cs="仿宋_GB2312"/>
          <w:szCs w:val="32"/>
          <w:highlight w:val="none"/>
        </w:rPr>
        <w:t>时，应当在投资收益中扣除公司发行</w:t>
      </w:r>
      <w:r>
        <w:rPr>
          <w:rFonts w:hint="eastAsia" w:ascii="仿宋_GB2312" w:hAnsi="仿宋_GB2312" w:eastAsia="仿宋_GB2312" w:cs="仿宋_GB2312"/>
          <w:szCs w:val="32"/>
          <w:highlight w:val="none"/>
          <w:lang w:val="en-GB"/>
        </w:rPr>
        <w:t>次级债</w:t>
      </w:r>
      <w:r>
        <w:rPr>
          <w:rFonts w:hint="eastAsia" w:ascii="仿宋_GB2312" w:hAnsi="仿宋_GB2312" w:eastAsia="仿宋_GB2312" w:cs="仿宋_GB2312"/>
          <w:szCs w:val="32"/>
          <w:highlight w:val="none"/>
          <w:lang w:val="en-GB" w:eastAsia="zh-CN"/>
        </w:rPr>
        <w:t>、</w:t>
      </w:r>
      <w:r>
        <w:rPr>
          <w:rFonts w:hint="eastAsia" w:ascii="仿宋_GB2312" w:hAnsi="仿宋_GB2312" w:eastAsia="仿宋_GB2312" w:cs="仿宋_GB2312"/>
          <w:szCs w:val="32"/>
          <w:highlight w:val="none"/>
          <w:lang w:val="en-GB"/>
        </w:rPr>
        <w:t>资本补充债</w:t>
      </w:r>
      <w:r>
        <w:rPr>
          <w:rFonts w:hint="eastAsia" w:ascii="仿宋_GB2312" w:hAnsi="仿宋_GB2312" w:eastAsia="仿宋_GB2312" w:cs="仿宋_GB2312"/>
          <w:szCs w:val="32"/>
          <w:highlight w:val="none"/>
          <w:lang w:val="en-US" w:eastAsia="zh-CN"/>
        </w:rPr>
        <w:t>和无固定期限资本债账户</w:t>
      </w:r>
      <w:r>
        <w:rPr>
          <w:rFonts w:hint="eastAsia" w:ascii="仿宋_GB2312" w:hAnsi="仿宋_GB2312" w:eastAsia="仿宋_GB2312" w:cs="仿宋_GB2312"/>
          <w:szCs w:val="32"/>
          <w:highlight w:val="none"/>
          <w:lang w:val="en-GB"/>
        </w:rPr>
        <w:t>的利息</w:t>
      </w:r>
      <w:r>
        <w:rPr>
          <w:rFonts w:hint="eastAsia" w:ascii="仿宋_GB2312" w:hAnsi="仿宋_GB2312" w:eastAsia="仿宋_GB2312" w:cs="仿宋_GB2312"/>
          <w:szCs w:val="32"/>
          <w:highlight w:val="none"/>
        </w:rPr>
        <w:t>支出。</w:t>
      </w:r>
    </w:p>
    <w:p>
      <w:pPr>
        <w:widowControl/>
        <w:spacing w:beforeLines="0" w:afterLines="0" w:line="560" w:lineRule="exact"/>
        <w:ind w:firstLine="640"/>
        <w:rPr>
          <w:rFonts w:hint="eastAsia" w:ascii="仿宋_GB2312" w:hAnsi="仿宋_GB2312" w:eastAsia="仿宋_GB2312" w:cs="仿宋_GB2312"/>
          <w:b/>
          <w:bCs/>
          <w:i w:val="0"/>
          <w:szCs w:val="32"/>
          <w:highlight w:val="none"/>
          <w:lang w:val="en-GB" w:eastAsia="zh-CN"/>
        </w:rPr>
      </w:pPr>
      <w:r>
        <w:rPr>
          <w:rFonts w:hint="eastAsia" w:ascii="仿宋_GB2312" w:hAnsi="仿宋_GB2312" w:eastAsia="仿宋_GB2312" w:cs="仿宋_GB2312"/>
          <w:b/>
          <w:bCs/>
          <w:i w:val="0"/>
          <w:szCs w:val="32"/>
          <w:highlight w:val="none"/>
          <w:lang w:val="en-GB" w:eastAsia="zh-CN"/>
        </w:rPr>
        <w:t>（七）</w:t>
      </w:r>
      <w:r>
        <w:rPr>
          <w:rFonts w:hint="eastAsia" w:ascii="仿宋_GB2312" w:hAnsi="仿宋_GB2312" w:eastAsia="仿宋_GB2312" w:cs="仿宋_GB2312"/>
          <w:b/>
          <w:bCs/>
          <w:sz w:val="32"/>
          <w:szCs w:val="32"/>
          <w:highlight w:val="none"/>
          <w:lang w:val="en-US" w:eastAsia="zh-CN"/>
        </w:rPr>
        <w:t>利率下行</w:t>
      </w:r>
      <w:r>
        <w:rPr>
          <w:rFonts w:hint="eastAsia" w:ascii="仿宋_GB2312" w:hAnsi="仿宋_GB2312" w:eastAsia="仿宋_GB2312" w:cs="仿宋_GB2312"/>
          <w:b/>
          <w:bCs/>
          <w:sz w:val="32"/>
          <w:szCs w:val="32"/>
          <w:highlight w:val="none"/>
        </w:rPr>
        <w:t>压力情景下</w:t>
      </w:r>
      <w:r>
        <w:rPr>
          <w:rFonts w:hint="eastAsia" w:ascii="仿宋_GB2312" w:hAnsi="仿宋_GB2312" w:eastAsia="仿宋_GB2312" w:cs="仿宋_GB2312"/>
          <w:b/>
          <w:bCs/>
          <w:sz w:val="32"/>
          <w:szCs w:val="32"/>
          <w:highlight w:val="none"/>
          <w:lang w:val="en-US" w:eastAsia="zh-CN"/>
        </w:rPr>
        <w:t>固收资产到期投资收益率</w:t>
      </w:r>
      <w:r>
        <w:rPr>
          <w:rFonts w:hint="eastAsia" w:ascii="仿宋_GB2312" w:hAnsi="仿宋_GB2312" w:eastAsia="仿宋_GB2312" w:cs="仿宋_GB2312"/>
          <w:b/>
          <w:bCs/>
          <w:sz w:val="32"/>
          <w:szCs w:val="32"/>
          <w:highlight w:val="none"/>
        </w:rPr>
        <w:t>与负债</w:t>
      </w:r>
      <w:r>
        <w:rPr>
          <w:rFonts w:hint="eastAsia" w:ascii="仿宋_GB2312" w:hAnsi="仿宋_GB2312" w:eastAsia="仿宋_GB2312" w:cs="仿宋_GB2312"/>
          <w:b/>
          <w:bCs/>
          <w:sz w:val="32"/>
          <w:szCs w:val="32"/>
          <w:highlight w:val="none"/>
          <w:lang w:val="en-US" w:eastAsia="zh-CN"/>
        </w:rPr>
        <w:t>保证成本率</w:t>
      </w:r>
      <w:r>
        <w:rPr>
          <w:rFonts w:hint="eastAsia" w:ascii="仿宋_GB2312" w:hAnsi="仿宋_GB2312" w:eastAsia="仿宋_GB2312" w:cs="仿宋_GB2312"/>
          <w:b/>
          <w:bCs/>
          <w:sz w:val="32"/>
          <w:szCs w:val="32"/>
          <w:highlight w:val="none"/>
        </w:rPr>
        <w:t>差额</w:t>
      </w:r>
    </w:p>
    <w:p>
      <w:pPr>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 w:val="32"/>
          <w:szCs w:val="32"/>
          <w:highlight w:val="none"/>
        </w:rPr>
        <w:t>衡量</w:t>
      </w:r>
      <w:r>
        <w:rPr>
          <w:rFonts w:hint="eastAsia" w:ascii="仿宋_GB2312" w:hAnsi="仿宋_GB2312" w:eastAsia="仿宋_GB2312" w:cs="仿宋_GB2312"/>
          <w:sz w:val="32"/>
          <w:szCs w:val="32"/>
          <w:highlight w:val="none"/>
          <w:lang w:val="en-US" w:eastAsia="zh-CN"/>
        </w:rPr>
        <w:t>人身</w:t>
      </w:r>
      <w:r>
        <w:rPr>
          <w:rFonts w:hint="eastAsia" w:ascii="仿宋_GB2312" w:hAnsi="仿宋_GB2312" w:eastAsia="仿宋_GB2312" w:cs="仿宋_GB2312"/>
          <w:sz w:val="32"/>
          <w:szCs w:val="32"/>
          <w:highlight w:val="none"/>
        </w:rPr>
        <w:t>保险公司</w:t>
      </w:r>
      <w:r>
        <w:rPr>
          <w:rFonts w:hint="eastAsia" w:ascii="仿宋_GB2312" w:hAnsi="仿宋_GB2312" w:eastAsia="仿宋_GB2312" w:cs="仿宋_GB2312"/>
          <w:sz w:val="32"/>
          <w:szCs w:val="32"/>
          <w:highlight w:val="none"/>
          <w:lang w:val="en-US" w:eastAsia="zh-CN"/>
        </w:rPr>
        <w:t>未来三年</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val="en-US" w:eastAsia="zh-CN"/>
        </w:rPr>
        <w:t>利率下行、再投资收益率下降压力</w:t>
      </w:r>
      <w:r>
        <w:rPr>
          <w:rFonts w:hint="eastAsia" w:ascii="仿宋_GB2312" w:hAnsi="仿宋_GB2312" w:eastAsia="仿宋_GB2312" w:cs="仿宋_GB2312"/>
          <w:sz w:val="32"/>
          <w:szCs w:val="32"/>
          <w:highlight w:val="none"/>
        </w:rPr>
        <w:t>情景下，整体</w:t>
      </w:r>
      <w:r>
        <w:rPr>
          <w:rFonts w:hint="eastAsia" w:ascii="仿宋_GB2312" w:hAnsi="仿宋_GB2312" w:eastAsia="仿宋_GB2312" w:cs="仿宋_GB2312"/>
          <w:sz w:val="32"/>
          <w:szCs w:val="32"/>
          <w:highlight w:val="none"/>
          <w:lang w:val="en-US" w:eastAsia="zh-CN"/>
        </w:rPr>
        <w:t>固定收益类投资的到期收益率</w:t>
      </w:r>
      <w:r>
        <w:rPr>
          <w:rFonts w:hint="eastAsia" w:ascii="仿宋_GB2312" w:hAnsi="仿宋_GB2312" w:eastAsia="仿宋_GB2312" w:cs="仿宋_GB2312"/>
          <w:sz w:val="32"/>
          <w:szCs w:val="32"/>
          <w:highlight w:val="none"/>
        </w:rPr>
        <w:t>能否覆盖公司</w:t>
      </w:r>
      <w:r>
        <w:rPr>
          <w:rFonts w:hint="eastAsia" w:ascii="仿宋_GB2312" w:hAnsi="仿宋_GB2312" w:eastAsia="仿宋_GB2312" w:cs="仿宋_GB2312"/>
          <w:szCs w:val="32"/>
          <w:highlight w:val="none"/>
          <w:lang w:val="en-GB" w:eastAsia="zh-CN"/>
        </w:rPr>
        <w:t>给予</w:t>
      </w:r>
      <w:r>
        <w:rPr>
          <w:rFonts w:hint="eastAsia" w:ascii="仿宋_GB2312" w:hAnsi="仿宋_GB2312" w:eastAsia="仿宋_GB2312" w:cs="仿宋_GB2312"/>
          <w:szCs w:val="32"/>
          <w:highlight w:val="none"/>
          <w:lang w:val="en-GB"/>
        </w:rPr>
        <w:t>客户的保证利益</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Cs w:val="32"/>
          <w:highlight w:val="none"/>
        </w:rPr>
        <w:t>规模调整用于调节</w:t>
      </w:r>
      <w:r>
        <w:rPr>
          <w:rFonts w:hint="eastAsia" w:ascii="仿宋_GB2312" w:hAnsi="仿宋_GB2312" w:eastAsia="仿宋_GB2312" w:cs="仿宋_GB2312"/>
          <w:szCs w:val="32"/>
          <w:highlight w:val="none"/>
          <w:lang w:val="en-US" w:eastAsia="zh-CN"/>
        </w:rPr>
        <w:t>固定收益类投资</w:t>
      </w:r>
      <w:r>
        <w:rPr>
          <w:rFonts w:hint="eastAsia" w:ascii="仿宋_GB2312" w:hAnsi="仿宋_GB2312" w:eastAsia="仿宋_GB2312" w:cs="仿宋_GB2312"/>
          <w:szCs w:val="32"/>
          <w:highlight w:val="none"/>
        </w:rPr>
        <w:t>资产规模与负债规模的不匹配。</w:t>
      </w:r>
    </w:p>
    <w:p>
      <w:pPr>
        <w:spacing w:beforeLines="0" w:afterLines="0" w:line="560" w:lineRule="exact"/>
        <w:ind w:firstLine="65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利率下行</w:t>
      </w:r>
      <w:r>
        <w:rPr>
          <w:rFonts w:hint="eastAsia" w:ascii="仿宋_GB2312" w:hAnsi="仿宋_GB2312" w:eastAsia="仿宋_GB2312" w:cs="仿宋_GB2312"/>
          <w:sz w:val="32"/>
          <w:szCs w:val="32"/>
          <w:highlight w:val="none"/>
        </w:rPr>
        <w:t>压力情景下</w:t>
      </w:r>
      <w:r>
        <w:rPr>
          <w:rFonts w:hint="eastAsia" w:ascii="仿宋_GB2312" w:hAnsi="仿宋_GB2312" w:eastAsia="仿宋_GB2312" w:cs="仿宋_GB2312"/>
          <w:sz w:val="32"/>
          <w:szCs w:val="32"/>
          <w:highlight w:val="none"/>
          <w:lang w:val="en-US" w:eastAsia="zh-CN"/>
        </w:rPr>
        <w:t>未来</w:t>
      </w:r>
      <w:r>
        <w:rPr>
          <w:rFonts w:hint="eastAsia" w:ascii="仿宋_GB2312" w:hAnsi="仿宋_GB2312" w:eastAsia="仿宋_GB2312" w:cs="仿宋_GB2312"/>
          <w:b w:val="0"/>
          <w:bCs w:val="0"/>
          <w:sz w:val="32"/>
          <w:szCs w:val="32"/>
          <w:highlight w:val="none"/>
          <w:lang w:val="en-US" w:eastAsia="zh-CN"/>
        </w:rPr>
        <w:t>第X年固收资产到期投资收益率</w:t>
      </w:r>
      <w:r>
        <w:rPr>
          <w:rFonts w:hint="eastAsia" w:ascii="仿宋_GB2312" w:hAnsi="仿宋_GB2312" w:eastAsia="仿宋_GB2312" w:cs="仿宋_GB2312"/>
          <w:b w:val="0"/>
          <w:bCs w:val="0"/>
          <w:sz w:val="32"/>
          <w:szCs w:val="32"/>
          <w:highlight w:val="none"/>
        </w:rPr>
        <w:t>与负债</w:t>
      </w:r>
      <w:r>
        <w:rPr>
          <w:rFonts w:hint="eastAsia" w:ascii="仿宋_GB2312" w:hAnsi="仿宋_GB2312" w:eastAsia="仿宋_GB2312" w:cs="仿宋_GB2312"/>
          <w:b w:val="0"/>
          <w:bCs w:val="0"/>
          <w:sz w:val="32"/>
          <w:szCs w:val="32"/>
          <w:highlight w:val="none"/>
          <w:lang w:val="en-US" w:eastAsia="zh-CN"/>
        </w:rPr>
        <w:t>保证成本率</w:t>
      </w:r>
      <w:r>
        <w:rPr>
          <w:rFonts w:hint="eastAsia" w:ascii="仿宋_GB2312" w:hAnsi="仿宋_GB2312" w:eastAsia="仿宋_GB2312" w:cs="仿宋_GB2312"/>
          <w:b w:val="0"/>
          <w:bCs w:val="0"/>
          <w:sz w:val="32"/>
          <w:szCs w:val="32"/>
          <w:highlight w:val="none"/>
        </w:rPr>
        <w:t>差额</w:t>
      </w:r>
      <w:r>
        <w:rPr>
          <w:rFonts w:hint="eastAsia" w:ascii="仿宋_GB2312" w:hAnsi="仿宋_GB2312" w:eastAsia="仿宋_GB2312" w:cs="仿宋_GB2312"/>
          <w:sz w:val="32"/>
          <w:szCs w:val="32"/>
          <w:highlight w:val="none"/>
        </w:rPr>
        <w:t>=预测可计算现金流的固定收益类投资资产到期收益率-预测未来第X年保证成本率×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预测未来第X年度负债平均规模÷预测未来第X年度末可计算现金流的固定收益类投资的摊余成本</w:t>
      </w:r>
      <w:r>
        <w:rPr>
          <w:rFonts w:hint="eastAsia" w:ascii="仿宋_GB2312" w:hAnsi="仿宋_GB2312" w:eastAsia="仿宋_GB2312" w:cs="仿宋_GB2312"/>
          <w:sz w:val="32"/>
          <w:szCs w:val="32"/>
          <w:highlight w:val="none"/>
          <w:lang w:eastAsia="zh-CN"/>
        </w:rPr>
        <w:t>）</w:t>
      </w:r>
    </w:p>
    <w:p>
      <w:pPr>
        <w:spacing w:beforeLines="0" w:afterLines="0" w:line="560" w:lineRule="exact"/>
        <w:ind w:firstLine="65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在计算普通账户</w:t>
      </w:r>
      <w:r>
        <w:rPr>
          <w:rFonts w:hint="eastAsia" w:ascii="仿宋_GB2312" w:hAnsi="仿宋_GB2312" w:eastAsia="仿宋_GB2312" w:cs="仿宋_GB2312"/>
          <w:sz w:val="32"/>
          <w:szCs w:val="32"/>
          <w:highlight w:val="none"/>
          <w:lang w:val="en-GB" w:eastAsia="zh-CN"/>
        </w:rPr>
        <w:t>利差</w:t>
      </w:r>
      <w:r>
        <w:rPr>
          <w:rFonts w:hint="eastAsia" w:ascii="仿宋_GB2312" w:hAnsi="仿宋_GB2312" w:eastAsia="仿宋_GB2312" w:cs="仿宋_GB2312"/>
          <w:sz w:val="32"/>
          <w:szCs w:val="32"/>
          <w:highlight w:val="none"/>
          <w:lang w:eastAsia="zh-CN"/>
        </w:rPr>
        <w:t>时，应当在投资收益中扣除公司发行</w:t>
      </w:r>
      <w:r>
        <w:rPr>
          <w:rFonts w:hint="eastAsia" w:ascii="仿宋_GB2312" w:hAnsi="仿宋_GB2312" w:eastAsia="仿宋_GB2312" w:cs="仿宋_GB2312"/>
          <w:sz w:val="32"/>
          <w:szCs w:val="32"/>
          <w:highlight w:val="none"/>
          <w:lang w:val="en-GB" w:eastAsia="zh-CN"/>
        </w:rPr>
        <w:t>次级债、资本补充债</w:t>
      </w:r>
      <w:r>
        <w:rPr>
          <w:rFonts w:hint="eastAsia" w:ascii="仿宋_GB2312" w:hAnsi="仿宋_GB2312" w:eastAsia="仿宋_GB2312" w:cs="仿宋_GB2312"/>
          <w:sz w:val="32"/>
          <w:szCs w:val="32"/>
          <w:highlight w:val="none"/>
          <w:lang w:val="en-US" w:eastAsia="zh-CN"/>
        </w:rPr>
        <w:t>和无固定期限资本债账户</w:t>
      </w:r>
      <w:r>
        <w:rPr>
          <w:rFonts w:hint="eastAsia" w:ascii="仿宋_GB2312" w:hAnsi="仿宋_GB2312" w:eastAsia="仿宋_GB2312" w:cs="仿宋_GB2312"/>
          <w:sz w:val="32"/>
          <w:szCs w:val="32"/>
          <w:highlight w:val="none"/>
          <w:lang w:val="en-GB" w:eastAsia="zh-CN"/>
        </w:rPr>
        <w:t>的利息</w:t>
      </w:r>
      <w:r>
        <w:rPr>
          <w:rFonts w:hint="eastAsia" w:ascii="仿宋_GB2312" w:hAnsi="仿宋_GB2312" w:eastAsia="仿宋_GB2312" w:cs="仿宋_GB2312"/>
          <w:sz w:val="32"/>
          <w:szCs w:val="32"/>
          <w:highlight w:val="none"/>
          <w:lang w:eastAsia="zh-CN"/>
        </w:rPr>
        <w:t>支出。</w:t>
      </w:r>
    </w:p>
    <w:p>
      <w:pPr>
        <w:numPr>
          <w:ilvl w:val="0"/>
          <w:numId w:val="0"/>
        </w:numPr>
        <w:spacing w:beforeLines="0" w:afterLines="0" w:line="560" w:lineRule="exact"/>
        <w:ind w:firstLine="643" w:firstLineChars="200"/>
        <w:rPr>
          <w:rFonts w:hint="eastAsia" w:ascii="仿宋_GB2312" w:hAnsi="仿宋_GB2312" w:eastAsia="仿宋_GB2312" w:cs="仿宋_GB2312"/>
          <w:b/>
          <w:bCs/>
          <w:szCs w:val="32"/>
          <w:highlight w:val="none"/>
          <w:lang w:val="en-GB"/>
        </w:rPr>
      </w:pPr>
      <w:r>
        <w:rPr>
          <w:rFonts w:hint="eastAsia" w:ascii="仿宋_GB2312" w:hAnsi="仿宋_GB2312" w:eastAsia="仿宋_GB2312" w:cs="仿宋_GB2312"/>
          <w:b/>
          <w:bCs/>
          <w:szCs w:val="32"/>
          <w:highlight w:val="none"/>
          <w:lang w:val="en-GB" w:eastAsia="zh-CN"/>
        </w:rPr>
        <w:t>（八）</w:t>
      </w:r>
      <w:r>
        <w:rPr>
          <w:rFonts w:hint="eastAsia" w:ascii="仿宋_GB2312" w:hAnsi="仿宋_GB2312" w:eastAsia="仿宋_GB2312" w:cs="仿宋_GB2312"/>
          <w:b/>
          <w:bCs/>
          <w:szCs w:val="32"/>
          <w:highlight w:val="none"/>
          <w:lang w:val="en-GB"/>
        </w:rPr>
        <w:t>流动性匹配率</w:t>
      </w:r>
    </w:p>
    <w:p>
      <w:pPr>
        <w:numPr>
          <w:ilvl w:val="0"/>
          <w:numId w:val="0"/>
        </w:numPr>
        <w:spacing w:beforeLines="0" w:afterLines="0" w:line="560" w:lineRule="exact"/>
        <w:ind w:firstLine="640" w:firstLineChars="20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旨在引导人身保险公司合理配置长期资产，避免过度依赖</w:t>
      </w:r>
      <w:r>
        <w:rPr>
          <w:rFonts w:hint="eastAsia" w:ascii="仿宋_GB2312" w:hAnsi="仿宋_GB2312" w:eastAsia="仿宋_GB2312" w:cs="仿宋_GB2312"/>
          <w:szCs w:val="32"/>
          <w:highlight w:val="none"/>
          <w:lang w:eastAsia="zh-CN"/>
        </w:rPr>
        <w:t>中短期保险负债</w:t>
      </w:r>
      <w:r>
        <w:rPr>
          <w:rFonts w:hint="eastAsia" w:ascii="仿宋_GB2312" w:hAnsi="仿宋_GB2312" w:eastAsia="仿宋_GB2312" w:cs="仿宋_GB2312"/>
          <w:szCs w:val="32"/>
          <w:highlight w:val="none"/>
        </w:rPr>
        <w:t>进行长期投资，提高风险抵御能力。</w:t>
      </w:r>
    </w:p>
    <w:p>
      <w:pPr>
        <w:widowControl/>
        <w:spacing w:beforeLines="0" w:afterLines="0" w:line="56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流动性匹配率的计算</w:t>
      </w:r>
      <w:r>
        <w:rPr>
          <w:rFonts w:hint="eastAsia" w:ascii="仿宋_GB2312" w:hAnsi="仿宋_GB2312" w:eastAsia="仿宋_GB2312" w:cs="仿宋_GB2312"/>
          <w:szCs w:val="32"/>
          <w:highlight w:val="none"/>
          <w:lang w:eastAsia="zh-CN"/>
        </w:rPr>
        <w:t>公式</w:t>
      </w:r>
      <w:r>
        <w:rPr>
          <w:rFonts w:hint="eastAsia" w:ascii="仿宋_GB2312" w:hAnsi="仿宋_GB2312" w:eastAsia="仿宋_GB2312" w:cs="仿宋_GB2312"/>
          <w:szCs w:val="32"/>
          <w:highlight w:val="none"/>
        </w:rPr>
        <w:t>如下：</w:t>
      </w:r>
    </w:p>
    <w:p>
      <w:pPr>
        <w:keepNext w:val="0"/>
        <w:keepLines w:val="0"/>
        <w:pageBreakBefore w:val="0"/>
        <w:widowControl/>
        <w:kinsoku/>
        <w:wordWrap/>
        <w:overflowPunct/>
        <w:topLinePunct w:val="0"/>
        <w:autoSpaceDE/>
        <w:autoSpaceDN/>
        <w:bidi w:val="0"/>
        <w:adjustRightInd/>
        <w:snapToGrid/>
        <w:spacing w:before="0" w:beforeLines="0" w:after="0" w:afterLines="0" w:line="560" w:lineRule="exact"/>
        <w:ind w:firstLine="640"/>
        <w:textAlignment w:val="auto"/>
        <w:rPr>
          <w:rFonts w:hint="eastAsia" w:ascii="仿宋_GB2312" w:hAnsi="仿宋_GB2312" w:eastAsia="仿宋_GB2312" w:cs="仿宋_GB2312"/>
          <w:szCs w:val="32"/>
          <w:highlight w:val="none"/>
          <w:lang w:val="en-GB"/>
        </w:rPr>
      </w:pPr>
      <m:oMathPara>
        <m:oMath>
          <m:r>
            <m:rPr>
              <m:sty m:val="p"/>
            </m:rPr>
            <w:rPr>
              <w:rFonts w:hint="eastAsia" w:ascii="DejaVu Math TeX Gyre" w:hAnsi="DejaVu Math TeX Gyre" w:eastAsia="仿宋_GB2312" w:cs="仿宋_GB2312"/>
              <w:szCs w:val="32"/>
              <w:highlight w:val="none"/>
            </w:rPr>
            <m:t>流动性匹配率</m:t>
          </m:r>
          <m:r>
            <m:rPr>
              <m:sty m:val="p"/>
            </m:rPr>
            <w:rPr>
              <w:rFonts w:hint="eastAsia" w:ascii="DejaVu Math TeX Gyre" w:hAnsi="DejaVu Math TeX Gyre" w:eastAsia="仿宋_GB2312" w:cs="仿宋_GB2312"/>
              <w:szCs w:val="32"/>
              <w:highlight w:val="none"/>
              <w:lang w:val="en-GB"/>
            </w:rPr>
            <m:t>=</m:t>
          </m:r>
          <m:f>
            <m:fPr>
              <m:ctrlPr>
                <w:rPr>
                  <w:rFonts w:hint="eastAsia" w:ascii="DejaVu Math TeX Gyre" w:hAnsi="DejaVu Math TeX Gyre" w:eastAsia="仿宋_GB2312" w:cs="仿宋_GB2312"/>
                  <w:sz w:val="32"/>
                  <w:szCs w:val="32"/>
                  <w:highlight w:val="none"/>
                  <w:lang w:val="en-GB"/>
                </w:rPr>
              </m:ctrlPr>
            </m:fPr>
            <m:num>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Out</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rPr>
                <m:t>∗</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PV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rPr>
                    <m:t>Out</m:t>
                  </m:r>
                  <m:ctrlPr>
                    <w:rPr>
                      <w:rFonts w:hint="eastAsia" w:ascii="DejaVu Math TeX Gyre" w:hAnsi="DejaVu Math TeX Gyre" w:eastAsia="仿宋_GB2312" w:cs="仿宋_GB2312"/>
                      <w:sz w:val="32"/>
                      <w:szCs w:val="32"/>
                      <w:highlight w:val="none"/>
                      <w:lang w:val="en-GB"/>
                    </w:rPr>
                  </m:ctrlPr>
                </m:sub>
              </m:sSub>
              <m:ctrlPr>
                <w:rPr>
                  <w:rFonts w:hint="eastAsia" w:ascii="DejaVu Math TeX Gyre" w:hAnsi="DejaVu Math TeX Gyre" w:eastAsia="仿宋_GB2312" w:cs="仿宋_GB2312"/>
                  <w:sz w:val="32"/>
                  <w:szCs w:val="32"/>
                  <w:highlight w:val="none"/>
                  <w:lang w:val="en-GB"/>
                </w:rPr>
              </m:ctrlPr>
            </m:num>
            <m:den>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PV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In</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PV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In</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LTI</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×LTI+</m:t>
              </m:r>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RE</m:t>
                  </m:r>
                  <m:ctrlPr>
                    <w:rPr>
                      <w:rFonts w:hint="eastAsia" w:ascii="DejaVu Math TeX Gyre" w:hAnsi="DejaVu Math TeX Gyre" w:eastAsia="仿宋_GB2312" w:cs="仿宋_GB2312"/>
                      <w:sz w:val="32"/>
                      <w:szCs w:val="32"/>
                      <w:highlight w:val="none"/>
                      <w:lang w:val="en-GB"/>
                    </w:rPr>
                  </m:ctrlPr>
                </m:sub>
              </m:sSub>
              <m:r>
                <m:rPr>
                  <m:sty m:val="p"/>
                </m:rPr>
                <w:rPr>
                  <w:rFonts w:hint="eastAsia" w:ascii="DejaVu Math TeX Gyre" w:hAnsi="DejaVu Math TeX Gyre" w:eastAsia="仿宋_GB2312" w:cs="仿宋_GB2312"/>
                  <w:szCs w:val="32"/>
                  <w:highlight w:val="none"/>
                  <w:lang w:val="en-GB"/>
                </w:rPr>
                <m:t>×RE</m:t>
              </m:r>
              <m:ctrlPr>
                <w:rPr>
                  <w:rFonts w:hint="eastAsia" w:ascii="DejaVu Math TeX Gyre" w:hAnsi="DejaVu Math TeX Gyre" w:eastAsia="仿宋_GB2312" w:cs="仿宋_GB2312"/>
                  <w:sz w:val="32"/>
                  <w:szCs w:val="32"/>
                  <w:highlight w:val="none"/>
                  <w:lang w:val="en-GB"/>
                </w:rPr>
              </m:ctrlPr>
            </m:den>
          </m:f>
        </m:oMath>
      </m:oMathPara>
    </w:p>
    <w:p>
      <w:pPr>
        <w:widowControl/>
        <w:spacing w:beforeLines="0" w:afterLines="0" w:line="560" w:lineRule="exact"/>
        <w:ind w:firstLine="640"/>
        <w:rPr>
          <w:rFonts w:hint="eastAsia" w:ascii="仿宋_GB2312" w:hAnsi="仿宋_GB2312" w:eastAsia="仿宋_GB2312" w:cs="仿宋_GB2312"/>
          <w:szCs w:val="32"/>
          <w:highlight w:val="none"/>
          <w:lang w:val="en-GB"/>
        </w:rPr>
      </w:pPr>
      <w:r>
        <w:rPr>
          <w:rFonts w:hint="eastAsia" w:ascii="仿宋_GB2312" w:hAnsi="仿宋_GB2312" w:eastAsia="仿宋_GB2312" w:cs="仿宋_GB2312"/>
          <w:szCs w:val="32"/>
          <w:highlight w:val="none"/>
          <w:lang w:val="en-GB"/>
        </w:rPr>
        <w:t>参数说明：</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Out</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为负债现金流流出修正久期；</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PV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Out</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为负债现金流流出</w:t>
      </w:r>
      <w:r>
        <w:rPr>
          <w:rFonts w:hint="eastAsia" w:ascii="仿宋_GB2312" w:hAnsi="仿宋_GB2312" w:eastAsia="仿宋_GB2312" w:cs="仿宋_GB2312"/>
          <w:szCs w:val="32"/>
          <w:highlight w:val="none"/>
          <w:lang w:val="en-GB" w:eastAsia="zh-CN"/>
        </w:rPr>
        <w:t>的折</w:t>
      </w:r>
      <w:r>
        <w:rPr>
          <w:rFonts w:hint="eastAsia" w:ascii="仿宋_GB2312" w:hAnsi="仿宋_GB2312" w:eastAsia="仿宋_GB2312" w:cs="仿宋_GB2312"/>
          <w:szCs w:val="32"/>
          <w:highlight w:val="none"/>
          <w:lang w:val="en-GB"/>
        </w:rPr>
        <w:t>现值；</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为资产现金流修正久期；</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PV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A</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为资产现金流的折现值；</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In</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为负债现金流流入修正久期；</w:t>
      </w:r>
    </w:p>
    <w:p>
      <w:pPr>
        <w:widowControl/>
        <w:spacing w:beforeLines="0" w:afterLines="0" w:line="560" w:lineRule="exact"/>
        <w:ind w:firstLine="640"/>
        <w:rPr>
          <w:rFonts w:hint="eastAsia" w:ascii="仿宋_GB2312" w:hAnsi="仿宋_GB2312" w:eastAsia="仿宋_GB2312" w:cs="仿宋_GB2312"/>
          <w:szCs w:val="32"/>
          <w:highlight w:val="none"/>
          <w:lang w:val="en-GB" w:eastAsia="zh-CN"/>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PV</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In</m:t>
            </m:r>
            <m:ctrlPr>
              <w:rPr>
                <w:rFonts w:hint="eastAsia" w:ascii="DejaVu Math TeX Gyre" w:hAnsi="DejaVu Math TeX Gyre" w:eastAsia="仿宋_GB2312" w:cs="仿宋_GB2312"/>
                <w:sz w:val="32"/>
                <w:szCs w:val="32"/>
                <w:highlight w:val="none"/>
                <w:lang w:val="en-GB"/>
              </w:rPr>
            </m:ctrlPr>
          </m:sub>
        </m:sSub>
      </m:oMath>
      <w:r>
        <w:rPr>
          <w:rFonts w:hint="eastAsia" w:hAnsi="DejaVu Math TeX Gyre" w:eastAsia="仿宋_GB2312" w:cs="仿宋_GB2312"/>
          <w:i w:val="0"/>
          <w:szCs w:val="32"/>
          <w:highlight w:val="none"/>
          <w:lang w:val="en-GB" w:eastAsia="zh-CN"/>
        </w:rPr>
        <w:t>为负债现金流流入的折现值；</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r>
          <m:rPr>
            <m:sty m:val="p"/>
          </m:rPr>
          <w:rPr>
            <w:rFonts w:hint="eastAsia" w:ascii="DejaVu Math TeX Gyre" w:hAnsi="DejaVu Math TeX Gyre" w:eastAsia="仿宋_GB2312" w:cs="仿宋_GB2312"/>
            <w:szCs w:val="32"/>
            <w:highlight w:val="none"/>
            <w:lang w:val="en-GB"/>
          </w:rPr>
          <m:t>LTI</m:t>
        </m:r>
      </m:oMath>
      <w:r>
        <w:rPr>
          <w:rFonts w:hint="eastAsia" w:ascii="仿宋_GB2312" w:hAnsi="仿宋_GB2312" w:eastAsia="仿宋_GB2312" w:cs="仿宋_GB2312"/>
          <w:szCs w:val="32"/>
          <w:highlight w:val="none"/>
          <w:lang w:val="en-GB"/>
        </w:rPr>
        <w:t>为长期股权投资的账面价值；</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LTI</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为长期股权投资的期限，取值12年；</w:t>
      </w:r>
    </w:p>
    <w:p>
      <w:pPr>
        <w:widowControl/>
        <w:spacing w:beforeLines="0" w:afterLines="0" w:line="560" w:lineRule="exact"/>
        <w:ind w:firstLine="640"/>
        <w:rPr>
          <w:rFonts w:hint="eastAsia" w:ascii="仿宋_GB2312" w:hAnsi="仿宋_GB2312" w:eastAsia="仿宋_GB2312" w:cs="仿宋_GB2312"/>
          <w:szCs w:val="32"/>
          <w:highlight w:val="none"/>
          <w:lang w:val="en-GB"/>
        </w:rPr>
      </w:pPr>
      <m:oMath>
        <m:r>
          <m:rPr>
            <m:sty m:val="p"/>
          </m:rPr>
          <w:rPr>
            <w:rFonts w:hint="eastAsia" w:ascii="DejaVu Math TeX Gyre" w:hAnsi="DejaVu Math TeX Gyre" w:eastAsia="仿宋_GB2312" w:cs="仿宋_GB2312"/>
            <w:szCs w:val="32"/>
            <w:highlight w:val="none"/>
            <w:lang w:val="en-GB"/>
          </w:rPr>
          <m:t>RE</m:t>
        </m:r>
      </m:oMath>
      <w:r>
        <w:rPr>
          <w:rFonts w:hint="eastAsia" w:ascii="仿宋_GB2312" w:hAnsi="仿宋_GB2312" w:eastAsia="仿宋_GB2312" w:cs="仿宋_GB2312"/>
          <w:szCs w:val="32"/>
          <w:highlight w:val="none"/>
          <w:lang w:val="en-GB"/>
        </w:rPr>
        <w:t>为投资性房地产的账面价值；</w:t>
      </w:r>
    </w:p>
    <w:p>
      <w:pPr>
        <w:widowControl/>
        <w:spacing w:beforeLines="0" w:afterLines="0" w:line="560" w:lineRule="exact"/>
        <w:ind w:firstLine="640"/>
        <w:rPr>
          <w:rFonts w:hint="eastAsia" w:ascii="仿宋_GB2312" w:hAnsi="仿宋_GB2312" w:eastAsia="仿宋_GB2312" w:cs="仿宋_GB2312"/>
          <w:sz w:val="36"/>
          <w:szCs w:val="36"/>
          <w:highlight w:val="none"/>
          <w:lang w:val="en-GB"/>
        </w:rPr>
      </w:pPr>
      <m:oMath>
        <m:sSub>
          <m:sSubPr>
            <m:ctrlPr>
              <w:rPr>
                <w:rFonts w:hint="eastAsia" w:ascii="DejaVu Math TeX Gyre" w:hAnsi="DejaVu Math TeX Gyre" w:eastAsia="仿宋_GB2312" w:cs="仿宋_GB2312"/>
                <w:sz w:val="32"/>
                <w:szCs w:val="32"/>
                <w:highlight w:val="none"/>
                <w:lang w:val="en-GB"/>
              </w:rPr>
            </m:ctrlPr>
          </m:sSubPr>
          <m:e>
            <m:r>
              <m:rPr>
                <m:sty m:val="p"/>
              </m:rPr>
              <w:rPr>
                <w:rFonts w:hint="eastAsia" w:ascii="DejaVu Math TeX Gyre" w:hAnsi="DejaVu Math TeX Gyre" w:eastAsia="仿宋_GB2312" w:cs="仿宋_GB2312"/>
                <w:szCs w:val="32"/>
                <w:highlight w:val="none"/>
                <w:lang w:val="en-GB"/>
              </w:rPr>
              <m:t>Dur</m:t>
            </m:r>
            <m:ctrlPr>
              <w:rPr>
                <w:rFonts w:hint="eastAsia" w:ascii="DejaVu Math TeX Gyre" w:hAnsi="DejaVu Math TeX Gyre" w:eastAsia="仿宋_GB2312" w:cs="仿宋_GB2312"/>
                <w:sz w:val="32"/>
                <w:szCs w:val="32"/>
                <w:highlight w:val="none"/>
                <w:lang w:val="en-GB"/>
              </w:rPr>
            </m:ctrlPr>
          </m:e>
          <m:sub>
            <m:r>
              <m:rPr>
                <m:sty m:val="p"/>
              </m:rPr>
              <w:rPr>
                <w:rFonts w:hint="eastAsia" w:ascii="DejaVu Math TeX Gyre" w:hAnsi="DejaVu Math TeX Gyre" w:eastAsia="仿宋_GB2312" w:cs="仿宋_GB2312"/>
                <w:szCs w:val="32"/>
                <w:highlight w:val="none"/>
                <w:lang w:val="en-GB"/>
              </w:rPr>
              <m:t>RE</m:t>
            </m:r>
            <m:ctrlPr>
              <w:rPr>
                <w:rFonts w:hint="eastAsia" w:ascii="DejaVu Math TeX Gyre" w:hAnsi="DejaVu Math TeX Gyre" w:eastAsia="仿宋_GB2312" w:cs="仿宋_GB2312"/>
                <w:sz w:val="32"/>
                <w:szCs w:val="32"/>
                <w:highlight w:val="none"/>
                <w:lang w:val="en-GB"/>
              </w:rPr>
            </m:ctrlPr>
          </m:sub>
        </m:sSub>
      </m:oMath>
      <w:r>
        <w:rPr>
          <w:rFonts w:hint="eastAsia" w:ascii="仿宋_GB2312" w:hAnsi="仿宋_GB2312" w:eastAsia="仿宋_GB2312" w:cs="仿宋_GB2312"/>
          <w:szCs w:val="32"/>
          <w:highlight w:val="none"/>
          <w:lang w:val="en-GB"/>
        </w:rPr>
        <w:t>为投资性房地产的期限，取值25年。</w:t>
      </w:r>
    </w:p>
    <w:p>
      <w:pPr>
        <w:widowControl/>
        <w:spacing w:beforeLines="0" w:afterLines="0" w:line="560" w:lineRule="exact"/>
        <w:ind w:firstLine="0"/>
        <w:jc w:val="left"/>
        <w:rPr>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MS Mincho">
    <w:panose1 w:val="02020609040205080304"/>
    <w:charset w:val="80"/>
    <w:family w:val="auto"/>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DejaVu Math TeX Gyre">
    <w:altName w:val="Mangal"/>
    <w:panose1 w:val="02000503000000000000"/>
    <w:charset w:val="00"/>
    <w:family w:val="auto"/>
    <w:pitch w:val="default"/>
    <w:sig w:usb0="00000000" w:usb1="00000000" w:usb2="02000000" w:usb3="00000000" w:csb0="60000193" w:csb1="0DD4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Mangal">
    <w:panose1 w:val="02040503050203030202"/>
    <w:charset w:val="00"/>
    <w:family w:val="auto"/>
    <w:pitch w:val="default"/>
    <w:sig w:usb0="00008003" w:usb1="00000000" w:usb2="00000000" w:usb3="00000000" w:csb0="00000001"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4D2125"/>
    <w:multiLevelType w:val="singleLevel"/>
    <w:tmpl w:val="C64D2125"/>
    <w:lvl w:ilvl="0" w:tentative="0">
      <w:start w:val="1"/>
      <w:numFmt w:val="chineseCounting"/>
      <w:suff w:val="nothing"/>
      <w:lvlText w:val="%1、"/>
      <w:lvlJc w:val="left"/>
      <w:rPr>
        <w:rFonts w:hint="eastAsia"/>
      </w:rPr>
    </w:lvl>
  </w:abstractNum>
  <w:abstractNum w:abstractNumId="1">
    <w:nsid w:val="06D72153"/>
    <w:multiLevelType w:val="multilevel"/>
    <w:tmpl w:val="06D72153"/>
    <w:lvl w:ilvl="0" w:tentative="0">
      <w:start w:val="1"/>
      <w:numFmt w:val="japaneseCounting"/>
      <w:pStyle w:val="3"/>
      <w:lvlText w:val="（%1）"/>
      <w:lvlJc w:val="left"/>
      <w:pPr>
        <w:ind w:left="1077"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F776F9E"/>
    <w:multiLevelType w:val="multilevel"/>
    <w:tmpl w:val="3F776F9E"/>
    <w:lvl w:ilvl="0" w:tentative="0">
      <w:start w:val="1"/>
      <w:numFmt w:val="decimal"/>
      <w:pStyle w:val="5"/>
      <w:lvlText w:val="%1."/>
      <w:lvlJc w:val="left"/>
      <w:pPr>
        <w:ind w:left="143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90F6872"/>
    <w:multiLevelType w:val="multilevel"/>
    <w:tmpl w:val="590F6872"/>
    <w:lvl w:ilvl="0" w:tentative="0">
      <w:start w:val="1"/>
      <w:numFmt w:val="chineseCountingThousand"/>
      <w:lvlText w:val="第%1章"/>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A4D22B5"/>
    <w:multiLevelType w:val="multilevel"/>
    <w:tmpl w:val="7A4D22B5"/>
    <w:lvl w:ilvl="0" w:tentative="0">
      <w:start w:val="1"/>
      <w:numFmt w:val="japaneseCounting"/>
      <w:pStyle w:val="33"/>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A933483"/>
    <w:multiLevelType w:val="multilevel"/>
    <w:tmpl w:val="7A933483"/>
    <w:lvl w:ilvl="0" w:tentative="0">
      <w:start w:val="1"/>
      <w:numFmt w:val="decimal"/>
      <w:pStyle w:val="6"/>
      <w:lvlText w:val="（%1）"/>
      <w:lvlJc w:val="left"/>
      <w:pPr>
        <w:ind w:left="-90" w:hanging="1080"/>
      </w:pPr>
      <w:rPr>
        <w:rFonts w:hint="default"/>
      </w:rPr>
    </w:lvl>
    <w:lvl w:ilvl="1" w:tentative="0">
      <w:start w:val="1"/>
      <w:numFmt w:val="lowerLetter"/>
      <w:lvlText w:val="%2)"/>
      <w:lvlJc w:val="left"/>
      <w:pPr>
        <w:ind w:left="-330" w:hanging="420"/>
      </w:pPr>
    </w:lvl>
    <w:lvl w:ilvl="2" w:tentative="0">
      <w:start w:val="1"/>
      <w:numFmt w:val="lowerRoman"/>
      <w:lvlText w:val="%3."/>
      <w:lvlJc w:val="right"/>
      <w:pPr>
        <w:ind w:left="90" w:hanging="420"/>
      </w:pPr>
    </w:lvl>
    <w:lvl w:ilvl="3" w:tentative="0">
      <w:start w:val="1"/>
      <w:numFmt w:val="decimal"/>
      <w:lvlText w:val="%4."/>
      <w:lvlJc w:val="left"/>
      <w:pPr>
        <w:ind w:left="510" w:hanging="420"/>
      </w:pPr>
    </w:lvl>
    <w:lvl w:ilvl="4" w:tentative="0">
      <w:start w:val="1"/>
      <w:numFmt w:val="lowerLetter"/>
      <w:lvlText w:val="%5)"/>
      <w:lvlJc w:val="left"/>
      <w:pPr>
        <w:ind w:left="930" w:hanging="420"/>
      </w:pPr>
    </w:lvl>
    <w:lvl w:ilvl="5" w:tentative="0">
      <w:start w:val="1"/>
      <w:numFmt w:val="lowerRoman"/>
      <w:lvlText w:val="%6."/>
      <w:lvlJc w:val="right"/>
      <w:pPr>
        <w:ind w:left="1350" w:hanging="420"/>
      </w:pPr>
    </w:lvl>
    <w:lvl w:ilvl="6" w:tentative="0">
      <w:start w:val="1"/>
      <w:numFmt w:val="decimal"/>
      <w:lvlText w:val="%7."/>
      <w:lvlJc w:val="left"/>
      <w:pPr>
        <w:ind w:left="1770" w:hanging="420"/>
      </w:pPr>
    </w:lvl>
    <w:lvl w:ilvl="7" w:tentative="0">
      <w:start w:val="1"/>
      <w:numFmt w:val="lowerLetter"/>
      <w:lvlText w:val="%8)"/>
      <w:lvlJc w:val="left"/>
      <w:pPr>
        <w:ind w:left="2190" w:hanging="420"/>
      </w:pPr>
    </w:lvl>
    <w:lvl w:ilvl="8" w:tentative="0">
      <w:start w:val="1"/>
      <w:numFmt w:val="lowerRoman"/>
      <w:lvlText w:val="%9."/>
      <w:lvlJc w:val="right"/>
      <w:pPr>
        <w:ind w:left="2610" w:hanging="420"/>
      </w:pPr>
    </w:lvl>
  </w:abstractNum>
  <w:abstractNum w:abstractNumId="6">
    <w:nsid w:val="7FFE34D4"/>
    <w:multiLevelType w:val="singleLevel"/>
    <w:tmpl w:val="7FFE34D4"/>
    <w:lvl w:ilvl="0" w:tentative="0">
      <w:start w:val="1"/>
      <w:numFmt w:val="chineseCounting"/>
      <w:suff w:val="nothing"/>
      <w:lvlText w:val="（%1）"/>
      <w:lvlJc w:val="left"/>
      <w:rPr>
        <w:rFonts w:hint="eastAsia"/>
      </w:rPr>
    </w:lvl>
  </w:abstractNum>
  <w:num w:numId="1">
    <w:abstractNumId w:val="1"/>
  </w:num>
  <w:num w:numId="2">
    <w:abstractNumId w:val="2"/>
  </w:num>
  <w:num w:numId="3">
    <w:abstractNumId w:val="5"/>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41"/>
    <w:rsid w:val="000001B6"/>
    <w:rsid w:val="00000466"/>
    <w:rsid w:val="00001ECB"/>
    <w:rsid w:val="0001364B"/>
    <w:rsid w:val="000142A4"/>
    <w:rsid w:val="000152B8"/>
    <w:rsid w:val="00021915"/>
    <w:rsid w:val="00026562"/>
    <w:rsid w:val="00026627"/>
    <w:rsid w:val="00027E5F"/>
    <w:rsid w:val="00045E92"/>
    <w:rsid w:val="00047BF4"/>
    <w:rsid w:val="00060E1F"/>
    <w:rsid w:val="00065902"/>
    <w:rsid w:val="00071460"/>
    <w:rsid w:val="00071603"/>
    <w:rsid w:val="00081F86"/>
    <w:rsid w:val="00093DCD"/>
    <w:rsid w:val="000948BF"/>
    <w:rsid w:val="000A145D"/>
    <w:rsid w:val="000A6F89"/>
    <w:rsid w:val="000A7B62"/>
    <w:rsid w:val="000B4B32"/>
    <w:rsid w:val="000C253A"/>
    <w:rsid w:val="000C36AE"/>
    <w:rsid w:val="000D06E0"/>
    <w:rsid w:val="000D0ABD"/>
    <w:rsid w:val="000D5228"/>
    <w:rsid w:val="000D5292"/>
    <w:rsid w:val="000E0D91"/>
    <w:rsid w:val="000E1B79"/>
    <w:rsid w:val="000E2035"/>
    <w:rsid w:val="000E5FA9"/>
    <w:rsid w:val="000F0403"/>
    <w:rsid w:val="000F1601"/>
    <w:rsid w:val="000F7205"/>
    <w:rsid w:val="000F7300"/>
    <w:rsid w:val="00103A35"/>
    <w:rsid w:val="00106E7B"/>
    <w:rsid w:val="001121A0"/>
    <w:rsid w:val="00115BE5"/>
    <w:rsid w:val="00123913"/>
    <w:rsid w:val="001314E6"/>
    <w:rsid w:val="00134EAA"/>
    <w:rsid w:val="00141D10"/>
    <w:rsid w:val="001510C2"/>
    <w:rsid w:val="0015223C"/>
    <w:rsid w:val="00156E00"/>
    <w:rsid w:val="001670F6"/>
    <w:rsid w:val="00167393"/>
    <w:rsid w:val="00186444"/>
    <w:rsid w:val="00187509"/>
    <w:rsid w:val="00187CC7"/>
    <w:rsid w:val="0019121B"/>
    <w:rsid w:val="001912D7"/>
    <w:rsid w:val="00192D83"/>
    <w:rsid w:val="00193B98"/>
    <w:rsid w:val="00194866"/>
    <w:rsid w:val="0019672C"/>
    <w:rsid w:val="001A5514"/>
    <w:rsid w:val="001B1341"/>
    <w:rsid w:val="001B19FD"/>
    <w:rsid w:val="001C2D58"/>
    <w:rsid w:val="001C3685"/>
    <w:rsid w:val="001C4EA3"/>
    <w:rsid w:val="001D4517"/>
    <w:rsid w:val="001D5235"/>
    <w:rsid w:val="001D637B"/>
    <w:rsid w:val="001D6680"/>
    <w:rsid w:val="001E452C"/>
    <w:rsid w:val="001E5266"/>
    <w:rsid w:val="001F25F0"/>
    <w:rsid w:val="001F2F99"/>
    <w:rsid w:val="001F3FE3"/>
    <w:rsid w:val="001F43FE"/>
    <w:rsid w:val="001F73D7"/>
    <w:rsid w:val="00201DAE"/>
    <w:rsid w:val="00202D19"/>
    <w:rsid w:val="00203053"/>
    <w:rsid w:val="002037FA"/>
    <w:rsid w:val="00204EC8"/>
    <w:rsid w:val="00210478"/>
    <w:rsid w:val="002220ED"/>
    <w:rsid w:val="0023125E"/>
    <w:rsid w:val="0023284A"/>
    <w:rsid w:val="00232E2E"/>
    <w:rsid w:val="002344C5"/>
    <w:rsid w:val="00236A21"/>
    <w:rsid w:val="00241E35"/>
    <w:rsid w:val="002436A4"/>
    <w:rsid w:val="0024437B"/>
    <w:rsid w:val="00244576"/>
    <w:rsid w:val="002446AF"/>
    <w:rsid w:val="00244C6A"/>
    <w:rsid w:val="00245E18"/>
    <w:rsid w:val="00254BCD"/>
    <w:rsid w:val="00265AA7"/>
    <w:rsid w:val="00265D9E"/>
    <w:rsid w:val="00270A74"/>
    <w:rsid w:val="00271A08"/>
    <w:rsid w:val="00277BF3"/>
    <w:rsid w:val="00280D72"/>
    <w:rsid w:val="002822BD"/>
    <w:rsid w:val="00285012"/>
    <w:rsid w:val="002900E7"/>
    <w:rsid w:val="0029178B"/>
    <w:rsid w:val="00294878"/>
    <w:rsid w:val="00294A99"/>
    <w:rsid w:val="002960E1"/>
    <w:rsid w:val="002A5909"/>
    <w:rsid w:val="002A5D14"/>
    <w:rsid w:val="002A6CF1"/>
    <w:rsid w:val="002A7BDF"/>
    <w:rsid w:val="002B140B"/>
    <w:rsid w:val="002B23E7"/>
    <w:rsid w:val="002B25E3"/>
    <w:rsid w:val="002B4D5E"/>
    <w:rsid w:val="002B783C"/>
    <w:rsid w:val="002C26FD"/>
    <w:rsid w:val="002C2ED5"/>
    <w:rsid w:val="002C3661"/>
    <w:rsid w:val="002C4008"/>
    <w:rsid w:val="002C654F"/>
    <w:rsid w:val="002D4925"/>
    <w:rsid w:val="002E16C4"/>
    <w:rsid w:val="002E4E2E"/>
    <w:rsid w:val="002E68F2"/>
    <w:rsid w:val="002F02AF"/>
    <w:rsid w:val="002F4FB8"/>
    <w:rsid w:val="002F604C"/>
    <w:rsid w:val="00303C90"/>
    <w:rsid w:val="00306809"/>
    <w:rsid w:val="0030790B"/>
    <w:rsid w:val="00307DC3"/>
    <w:rsid w:val="00316296"/>
    <w:rsid w:val="003208DC"/>
    <w:rsid w:val="0032191E"/>
    <w:rsid w:val="00324752"/>
    <w:rsid w:val="00334CEA"/>
    <w:rsid w:val="00340775"/>
    <w:rsid w:val="0034183C"/>
    <w:rsid w:val="00345355"/>
    <w:rsid w:val="00351019"/>
    <w:rsid w:val="003525D3"/>
    <w:rsid w:val="00354031"/>
    <w:rsid w:val="0035455C"/>
    <w:rsid w:val="003568E5"/>
    <w:rsid w:val="00356CA0"/>
    <w:rsid w:val="003573C9"/>
    <w:rsid w:val="00357AEF"/>
    <w:rsid w:val="00364539"/>
    <w:rsid w:val="00365EF1"/>
    <w:rsid w:val="00367F34"/>
    <w:rsid w:val="003708C5"/>
    <w:rsid w:val="00373850"/>
    <w:rsid w:val="00374063"/>
    <w:rsid w:val="00375103"/>
    <w:rsid w:val="0037546E"/>
    <w:rsid w:val="0038044D"/>
    <w:rsid w:val="00386599"/>
    <w:rsid w:val="00394B93"/>
    <w:rsid w:val="00395E64"/>
    <w:rsid w:val="003967E6"/>
    <w:rsid w:val="003A4B07"/>
    <w:rsid w:val="003A5E87"/>
    <w:rsid w:val="003A60A8"/>
    <w:rsid w:val="003A7759"/>
    <w:rsid w:val="003A7CC3"/>
    <w:rsid w:val="003B1126"/>
    <w:rsid w:val="003B4301"/>
    <w:rsid w:val="003B4E23"/>
    <w:rsid w:val="003C3541"/>
    <w:rsid w:val="003C65FE"/>
    <w:rsid w:val="003C6BA1"/>
    <w:rsid w:val="003C703C"/>
    <w:rsid w:val="003C7FB0"/>
    <w:rsid w:val="003D273D"/>
    <w:rsid w:val="003E2098"/>
    <w:rsid w:val="003E2ED1"/>
    <w:rsid w:val="003E4F88"/>
    <w:rsid w:val="003E55AC"/>
    <w:rsid w:val="003F1AA6"/>
    <w:rsid w:val="003F3392"/>
    <w:rsid w:val="003F6B17"/>
    <w:rsid w:val="0040048C"/>
    <w:rsid w:val="00401CCA"/>
    <w:rsid w:val="00401FCF"/>
    <w:rsid w:val="00402D04"/>
    <w:rsid w:val="004143C2"/>
    <w:rsid w:val="004148ED"/>
    <w:rsid w:val="00415012"/>
    <w:rsid w:val="0041518D"/>
    <w:rsid w:val="00417963"/>
    <w:rsid w:val="00417A7F"/>
    <w:rsid w:val="00420E28"/>
    <w:rsid w:val="00421402"/>
    <w:rsid w:val="00425369"/>
    <w:rsid w:val="00425E81"/>
    <w:rsid w:val="004261DA"/>
    <w:rsid w:val="00442859"/>
    <w:rsid w:val="00443D05"/>
    <w:rsid w:val="004469B2"/>
    <w:rsid w:val="004476FF"/>
    <w:rsid w:val="00457E9E"/>
    <w:rsid w:val="00466445"/>
    <w:rsid w:val="0046656A"/>
    <w:rsid w:val="004713C1"/>
    <w:rsid w:val="00471CA9"/>
    <w:rsid w:val="00471D5B"/>
    <w:rsid w:val="0047237E"/>
    <w:rsid w:val="004748B8"/>
    <w:rsid w:val="004768E4"/>
    <w:rsid w:val="00477006"/>
    <w:rsid w:val="00477CF8"/>
    <w:rsid w:val="00482C8C"/>
    <w:rsid w:val="004854E3"/>
    <w:rsid w:val="00485FCE"/>
    <w:rsid w:val="00486D12"/>
    <w:rsid w:val="00490781"/>
    <w:rsid w:val="00493B31"/>
    <w:rsid w:val="00494BAA"/>
    <w:rsid w:val="00497712"/>
    <w:rsid w:val="004A02A2"/>
    <w:rsid w:val="004A322A"/>
    <w:rsid w:val="004A417E"/>
    <w:rsid w:val="004A627E"/>
    <w:rsid w:val="004A6B96"/>
    <w:rsid w:val="004A734C"/>
    <w:rsid w:val="004B3E07"/>
    <w:rsid w:val="004C3016"/>
    <w:rsid w:val="004C471E"/>
    <w:rsid w:val="004C4C0B"/>
    <w:rsid w:val="004D2894"/>
    <w:rsid w:val="004D3EEB"/>
    <w:rsid w:val="004D66C1"/>
    <w:rsid w:val="004E401D"/>
    <w:rsid w:val="004E42F1"/>
    <w:rsid w:val="004E7D9D"/>
    <w:rsid w:val="004F0767"/>
    <w:rsid w:val="004F2B54"/>
    <w:rsid w:val="004F5ED7"/>
    <w:rsid w:val="00502C70"/>
    <w:rsid w:val="0050468A"/>
    <w:rsid w:val="00510C33"/>
    <w:rsid w:val="00513530"/>
    <w:rsid w:val="0052445E"/>
    <w:rsid w:val="005300E5"/>
    <w:rsid w:val="00536812"/>
    <w:rsid w:val="00537448"/>
    <w:rsid w:val="0054030E"/>
    <w:rsid w:val="005431AC"/>
    <w:rsid w:val="0054444D"/>
    <w:rsid w:val="005451AF"/>
    <w:rsid w:val="00547BF0"/>
    <w:rsid w:val="005517B9"/>
    <w:rsid w:val="00552C04"/>
    <w:rsid w:val="005543F6"/>
    <w:rsid w:val="00562C6E"/>
    <w:rsid w:val="005633E8"/>
    <w:rsid w:val="00564F77"/>
    <w:rsid w:val="00566321"/>
    <w:rsid w:val="00566605"/>
    <w:rsid w:val="0057430D"/>
    <w:rsid w:val="00576F42"/>
    <w:rsid w:val="005776B0"/>
    <w:rsid w:val="00582412"/>
    <w:rsid w:val="00584652"/>
    <w:rsid w:val="005865C0"/>
    <w:rsid w:val="00586965"/>
    <w:rsid w:val="00591570"/>
    <w:rsid w:val="00591B72"/>
    <w:rsid w:val="00593436"/>
    <w:rsid w:val="005A1F45"/>
    <w:rsid w:val="005A67EA"/>
    <w:rsid w:val="005A700B"/>
    <w:rsid w:val="005B2282"/>
    <w:rsid w:val="005B4CEB"/>
    <w:rsid w:val="005C1493"/>
    <w:rsid w:val="005C4EE1"/>
    <w:rsid w:val="005C706D"/>
    <w:rsid w:val="005D1AD7"/>
    <w:rsid w:val="005D5625"/>
    <w:rsid w:val="005D666F"/>
    <w:rsid w:val="005D6C98"/>
    <w:rsid w:val="005D7E69"/>
    <w:rsid w:val="005E494B"/>
    <w:rsid w:val="005E665C"/>
    <w:rsid w:val="005E7348"/>
    <w:rsid w:val="005E753C"/>
    <w:rsid w:val="005F008B"/>
    <w:rsid w:val="005F5B20"/>
    <w:rsid w:val="005F6E3E"/>
    <w:rsid w:val="00610669"/>
    <w:rsid w:val="00611FA9"/>
    <w:rsid w:val="006176F9"/>
    <w:rsid w:val="00633616"/>
    <w:rsid w:val="00633924"/>
    <w:rsid w:val="0063734C"/>
    <w:rsid w:val="00644578"/>
    <w:rsid w:val="00654A2B"/>
    <w:rsid w:val="00655B1F"/>
    <w:rsid w:val="00656CE9"/>
    <w:rsid w:val="00657F32"/>
    <w:rsid w:val="0066142A"/>
    <w:rsid w:val="006614B4"/>
    <w:rsid w:val="006627DF"/>
    <w:rsid w:val="00667946"/>
    <w:rsid w:val="00672A41"/>
    <w:rsid w:val="006735FE"/>
    <w:rsid w:val="00674904"/>
    <w:rsid w:val="00675B7A"/>
    <w:rsid w:val="00680572"/>
    <w:rsid w:val="00680997"/>
    <w:rsid w:val="00681677"/>
    <w:rsid w:val="006820D0"/>
    <w:rsid w:val="006855CF"/>
    <w:rsid w:val="00690188"/>
    <w:rsid w:val="00690294"/>
    <w:rsid w:val="00693933"/>
    <w:rsid w:val="006947A3"/>
    <w:rsid w:val="00694AFB"/>
    <w:rsid w:val="00694EDB"/>
    <w:rsid w:val="00697156"/>
    <w:rsid w:val="006973E5"/>
    <w:rsid w:val="006A25B4"/>
    <w:rsid w:val="006A41C3"/>
    <w:rsid w:val="006A62E2"/>
    <w:rsid w:val="006A7995"/>
    <w:rsid w:val="006B5884"/>
    <w:rsid w:val="006C237E"/>
    <w:rsid w:val="006C41B6"/>
    <w:rsid w:val="006D11D2"/>
    <w:rsid w:val="006E3A8F"/>
    <w:rsid w:val="006E4DF8"/>
    <w:rsid w:val="006F60CB"/>
    <w:rsid w:val="006F6152"/>
    <w:rsid w:val="006F6DD9"/>
    <w:rsid w:val="006F7AEC"/>
    <w:rsid w:val="007204C3"/>
    <w:rsid w:val="007245A5"/>
    <w:rsid w:val="00726A07"/>
    <w:rsid w:val="00727957"/>
    <w:rsid w:val="00732EE2"/>
    <w:rsid w:val="00737DD5"/>
    <w:rsid w:val="0074357F"/>
    <w:rsid w:val="007546A1"/>
    <w:rsid w:val="0075476D"/>
    <w:rsid w:val="00755CE3"/>
    <w:rsid w:val="007660A0"/>
    <w:rsid w:val="00767E6C"/>
    <w:rsid w:val="0077098C"/>
    <w:rsid w:val="007739CB"/>
    <w:rsid w:val="00774141"/>
    <w:rsid w:val="0077482B"/>
    <w:rsid w:val="00776B50"/>
    <w:rsid w:val="00790A40"/>
    <w:rsid w:val="0079116B"/>
    <w:rsid w:val="00793205"/>
    <w:rsid w:val="00796ED8"/>
    <w:rsid w:val="00797899"/>
    <w:rsid w:val="007A250F"/>
    <w:rsid w:val="007A302F"/>
    <w:rsid w:val="007A5274"/>
    <w:rsid w:val="007A7067"/>
    <w:rsid w:val="007B270C"/>
    <w:rsid w:val="007B677D"/>
    <w:rsid w:val="007B7E02"/>
    <w:rsid w:val="007C67A5"/>
    <w:rsid w:val="007D2BCB"/>
    <w:rsid w:val="007E21B4"/>
    <w:rsid w:val="007E2467"/>
    <w:rsid w:val="007E4519"/>
    <w:rsid w:val="007E578D"/>
    <w:rsid w:val="007F2894"/>
    <w:rsid w:val="007F6889"/>
    <w:rsid w:val="00800A70"/>
    <w:rsid w:val="00802BA0"/>
    <w:rsid w:val="00807DBB"/>
    <w:rsid w:val="008110C2"/>
    <w:rsid w:val="00817857"/>
    <w:rsid w:val="00820326"/>
    <w:rsid w:val="00820CD9"/>
    <w:rsid w:val="00823084"/>
    <w:rsid w:val="0082395B"/>
    <w:rsid w:val="00823C43"/>
    <w:rsid w:val="00824E2B"/>
    <w:rsid w:val="00827A6D"/>
    <w:rsid w:val="00830E8B"/>
    <w:rsid w:val="00836AD5"/>
    <w:rsid w:val="00841DDD"/>
    <w:rsid w:val="00844ECC"/>
    <w:rsid w:val="0084528F"/>
    <w:rsid w:val="00845B4B"/>
    <w:rsid w:val="008474A1"/>
    <w:rsid w:val="00847F64"/>
    <w:rsid w:val="0085049C"/>
    <w:rsid w:val="00850DBC"/>
    <w:rsid w:val="00856707"/>
    <w:rsid w:val="00863340"/>
    <w:rsid w:val="00867000"/>
    <w:rsid w:val="00873F9A"/>
    <w:rsid w:val="0087562B"/>
    <w:rsid w:val="00875636"/>
    <w:rsid w:val="008765CE"/>
    <w:rsid w:val="00876E15"/>
    <w:rsid w:val="008775F9"/>
    <w:rsid w:val="0088089E"/>
    <w:rsid w:val="0088213C"/>
    <w:rsid w:val="00883F19"/>
    <w:rsid w:val="00884CB7"/>
    <w:rsid w:val="008852B8"/>
    <w:rsid w:val="008853B4"/>
    <w:rsid w:val="00892AFB"/>
    <w:rsid w:val="00893994"/>
    <w:rsid w:val="0089617E"/>
    <w:rsid w:val="008B1317"/>
    <w:rsid w:val="008B1513"/>
    <w:rsid w:val="008B1523"/>
    <w:rsid w:val="008B3AC0"/>
    <w:rsid w:val="008B609C"/>
    <w:rsid w:val="008C0C28"/>
    <w:rsid w:val="008C5CD3"/>
    <w:rsid w:val="008C721F"/>
    <w:rsid w:val="008D0ED3"/>
    <w:rsid w:val="008D1185"/>
    <w:rsid w:val="008D3282"/>
    <w:rsid w:val="008D56F1"/>
    <w:rsid w:val="008D5C07"/>
    <w:rsid w:val="008E0F9E"/>
    <w:rsid w:val="008E1277"/>
    <w:rsid w:val="008E235B"/>
    <w:rsid w:val="008E3CCC"/>
    <w:rsid w:val="008F08CC"/>
    <w:rsid w:val="008F1754"/>
    <w:rsid w:val="008F4EC3"/>
    <w:rsid w:val="008F58AD"/>
    <w:rsid w:val="008F6244"/>
    <w:rsid w:val="00905956"/>
    <w:rsid w:val="00905DB0"/>
    <w:rsid w:val="00906C80"/>
    <w:rsid w:val="00911B6E"/>
    <w:rsid w:val="00911D41"/>
    <w:rsid w:val="0092070A"/>
    <w:rsid w:val="00926EE0"/>
    <w:rsid w:val="00935442"/>
    <w:rsid w:val="0095126F"/>
    <w:rsid w:val="00952C0B"/>
    <w:rsid w:val="0095586D"/>
    <w:rsid w:val="009573C2"/>
    <w:rsid w:val="00960393"/>
    <w:rsid w:val="009639F1"/>
    <w:rsid w:val="009706CB"/>
    <w:rsid w:val="009723FE"/>
    <w:rsid w:val="00972E23"/>
    <w:rsid w:val="00984709"/>
    <w:rsid w:val="0098481E"/>
    <w:rsid w:val="0098756E"/>
    <w:rsid w:val="009A14FD"/>
    <w:rsid w:val="009A6AAD"/>
    <w:rsid w:val="009B3326"/>
    <w:rsid w:val="009B3FC8"/>
    <w:rsid w:val="009B6140"/>
    <w:rsid w:val="009B67A8"/>
    <w:rsid w:val="009B6965"/>
    <w:rsid w:val="009B7BF5"/>
    <w:rsid w:val="009C019B"/>
    <w:rsid w:val="009C26F9"/>
    <w:rsid w:val="009C4DF2"/>
    <w:rsid w:val="009D035F"/>
    <w:rsid w:val="009D072E"/>
    <w:rsid w:val="009D1824"/>
    <w:rsid w:val="009D32CA"/>
    <w:rsid w:val="009D3EAD"/>
    <w:rsid w:val="009D4140"/>
    <w:rsid w:val="009E0992"/>
    <w:rsid w:val="009E1B1C"/>
    <w:rsid w:val="009E230E"/>
    <w:rsid w:val="009E7133"/>
    <w:rsid w:val="009F00C3"/>
    <w:rsid w:val="00A06D52"/>
    <w:rsid w:val="00A10C8E"/>
    <w:rsid w:val="00A136E7"/>
    <w:rsid w:val="00A13870"/>
    <w:rsid w:val="00A25E49"/>
    <w:rsid w:val="00A26686"/>
    <w:rsid w:val="00A318F7"/>
    <w:rsid w:val="00A31D4F"/>
    <w:rsid w:val="00A366B7"/>
    <w:rsid w:val="00A464B3"/>
    <w:rsid w:val="00A530CE"/>
    <w:rsid w:val="00A54176"/>
    <w:rsid w:val="00A6128E"/>
    <w:rsid w:val="00A70791"/>
    <w:rsid w:val="00A71622"/>
    <w:rsid w:val="00A71A17"/>
    <w:rsid w:val="00A72EA4"/>
    <w:rsid w:val="00A77E69"/>
    <w:rsid w:val="00A83530"/>
    <w:rsid w:val="00A86D5C"/>
    <w:rsid w:val="00A8768A"/>
    <w:rsid w:val="00A9325A"/>
    <w:rsid w:val="00AA02C7"/>
    <w:rsid w:val="00AB0E05"/>
    <w:rsid w:val="00AB4FC4"/>
    <w:rsid w:val="00AB54D4"/>
    <w:rsid w:val="00AC1D26"/>
    <w:rsid w:val="00AC2A44"/>
    <w:rsid w:val="00AC4B76"/>
    <w:rsid w:val="00AC5082"/>
    <w:rsid w:val="00AD649D"/>
    <w:rsid w:val="00AD65D8"/>
    <w:rsid w:val="00AD7CF5"/>
    <w:rsid w:val="00AE1C40"/>
    <w:rsid w:val="00AE2DAD"/>
    <w:rsid w:val="00AF05FB"/>
    <w:rsid w:val="00AF6510"/>
    <w:rsid w:val="00B00DD3"/>
    <w:rsid w:val="00B0148B"/>
    <w:rsid w:val="00B02E1C"/>
    <w:rsid w:val="00B0582C"/>
    <w:rsid w:val="00B14E1E"/>
    <w:rsid w:val="00B17CCC"/>
    <w:rsid w:val="00B21A2A"/>
    <w:rsid w:val="00B24BA0"/>
    <w:rsid w:val="00B24EAE"/>
    <w:rsid w:val="00B25DA2"/>
    <w:rsid w:val="00B341F9"/>
    <w:rsid w:val="00B4067A"/>
    <w:rsid w:val="00B41405"/>
    <w:rsid w:val="00B41887"/>
    <w:rsid w:val="00B42B01"/>
    <w:rsid w:val="00B44E08"/>
    <w:rsid w:val="00B45BDE"/>
    <w:rsid w:val="00B45DB6"/>
    <w:rsid w:val="00B47BDF"/>
    <w:rsid w:val="00B522E9"/>
    <w:rsid w:val="00B5680A"/>
    <w:rsid w:val="00B56C0D"/>
    <w:rsid w:val="00B67EA6"/>
    <w:rsid w:val="00B70030"/>
    <w:rsid w:val="00B71D65"/>
    <w:rsid w:val="00B72C40"/>
    <w:rsid w:val="00B74D20"/>
    <w:rsid w:val="00B75104"/>
    <w:rsid w:val="00B820EB"/>
    <w:rsid w:val="00B834D9"/>
    <w:rsid w:val="00B83AEF"/>
    <w:rsid w:val="00B913A8"/>
    <w:rsid w:val="00B916BD"/>
    <w:rsid w:val="00B97AF0"/>
    <w:rsid w:val="00BA2FE3"/>
    <w:rsid w:val="00BA74E8"/>
    <w:rsid w:val="00BC53F2"/>
    <w:rsid w:val="00BC5ECB"/>
    <w:rsid w:val="00BC72CE"/>
    <w:rsid w:val="00BD3CCC"/>
    <w:rsid w:val="00BE012D"/>
    <w:rsid w:val="00BE1EF3"/>
    <w:rsid w:val="00BE2068"/>
    <w:rsid w:val="00BE3973"/>
    <w:rsid w:val="00BE7682"/>
    <w:rsid w:val="00C04F03"/>
    <w:rsid w:val="00C1175B"/>
    <w:rsid w:val="00C147CB"/>
    <w:rsid w:val="00C24871"/>
    <w:rsid w:val="00C260D9"/>
    <w:rsid w:val="00C3047A"/>
    <w:rsid w:val="00C33A8E"/>
    <w:rsid w:val="00C35B31"/>
    <w:rsid w:val="00C419B2"/>
    <w:rsid w:val="00C43594"/>
    <w:rsid w:val="00C44497"/>
    <w:rsid w:val="00C44F50"/>
    <w:rsid w:val="00C46AE1"/>
    <w:rsid w:val="00C50847"/>
    <w:rsid w:val="00C50A8C"/>
    <w:rsid w:val="00C516BD"/>
    <w:rsid w:val="00C52E09"/>
    <w:rsid w:val="00C543E0"/>
    <w:rsid w:val="00C548D4"/>
    <w:rsid w:val="00C55D6D"/>
    <w:rsid w:val="00C57920"/>
    <w:rsid w:val="00C611B8"/>
    <w:rsid w:val="00C63CCF"/>
    <w:rsid w:val="00C655D3"/>
    <w:rsid w:val="00C6617F"/>
    <w:rsid w:val="00C665C3"/>
    <w:rsid w:val="00C706EA"/>
    <w:rsid w:val="00C72736"/>
    <w:rsid w:val="00C73FF2"/>
    <w:rsid w:val="00C7549F"/>
    <w:rsid w:val="00C7577B"/>
    <w:rsid w:val="00C80BF0"/>
    <w:rsid w:val="00C847BE"/>
    <w:rsid w:val="00C84ABC"/>
    <w:rsid w:val="00C87891"/>
    <w:rsid w:val="00C87EA7"/>
    <w:rsid w:val="00C95232"/>
    <w:rsid w:val="00C97446"/>
    <w:rsid w:val="00CA3D5B"/>
    <w:rsid w:val="00CA5300"/>
    <w:rsid w:val="00CB0BF6"/>
    <w:rsid w:val="00CB6B3D"/>
    <w:rsid w:val="00CC25C2"/>
    <w:rsid w:val="00CC2904"/>
    <w:rsid w:val="00CC44B1"/>
    <w:rsid w:val="00CC76B0"/>
    <w:rsid w:val="00CD0615"/>
    <w:rsid w:val="00CD0634"/>
    <w:rsid w:val="00CD537D"/>
    <w:rsid w:val="00CD6BDD"/>
    <w:rsid w:val="00CE0C40"/>
    <w:rsid w:val="00CE1A41"/>
    <w:rsid w:val="00CE3B0C"/>
    <w:rsid w:val="00CE3BB4"/>
    <w:rsid w:val="00CE58C9"/>
    <w:rsid w:val="00D00BB7"/>
    <w:rsid w:val="00D043D8"/>
    <w:rsid w:val="00D10DE0"/>
    <w:rsid w:val="00D13476"/>
    <w:rsid w:val="00D14183"/>
    <w:rsid w:val="00D150D8"/>
    <w:rsid w:val="00D15F25"/>
    <w:rsid w:val="00D1605D"/>
    <w:rsid w:val="00D16440"/>
    <w:rsid w:val="00D174D6"/>
    <w:rsid w:val="00D265CE"/>
    <w:rsid w:val="00D3027F"/>
    <w:rsid w:val="00D30F03"/>
    <w:rsid w:val="00D332C7"/>
    <w:rsid w:val="00D35334"/>
    <w:rsid w:val="00D41646"/>
    <w:rsid w:val="00D42371"/>
    <w:rsid w:val="00D4376D"/>
    <w:rsid w:val="00D452FB"/>
    <w:rsid w:val="00D45A17"/>
    <w:rsid w:val="00D5049F"/>
    <w:rsid w:val="00D52642"/>
    <w:rsid w:val="00D545A7"/>
    <w:rsid w:val="00D60D7D"/>
    <w:rsid w:val="00D6440B"/>
    <w:rsid w:val="00D655A6"/>
    <w:rsid w:val="00D67873"/>
    <w:rsid w:val="00D67AF3"/>
    <w:rsid w:val="00D813A3"/>
    <w:rsid w:val="00D81841"/>
    <w:rsid w:val="00D82C0D"/>
    <w:rsid w:val="00D872AC"/>
    <w:rsid w:val="00D90AA2"/>
    <w:rsid w:val="00D91F23"/>
    <w:rsid w:val="00D924C4"/>
    <w:rsid w:val="00D94A41"/>
    <w:rsid w:val="00D94D2C"/>
    <w:rsid w:val="00D960DC"/>
    <w:rsid w:val="00D962E2"/>
    <w:rsid w:val="00D971C9"/>
    <w:rsid w:val="00DA0391"/>
    <w:rsid w:val="00DA0DF6"/>
    <w:rsid w:val="00DA1463"/>
    <w:rsid w:val="00DA2546"/>
    <w:rsid w:val="00DA74F4"/>
    <w:rsid w:val="00DB6651"/>
    <w:rsid w:val="00DD1453"/>
    <w:rsid w:val="00DD378E"/>
    <w:rsid w:val="00DE3C50"/>
    <w:rsid w:val="00DE4581"/>
    <w:rsid w:val="00DE4A2E"/>
    <w:rsid w:val="00DE573E"/>
    <w:rsid w:val="00DF0CAF"/>
    <w:rsid w:val="00DF43D7"/>
    <w:rsid w:val="00DF48F1"/>
    <w:rsid w:val="00E0771D"/>
    <w:rsid w:val="00E07C5F"/>
    <w:rsid w:val="00E100F6"/>
    <w:rsid w:val="00E13041"/>
    <w:rsid w:val="00E15AA1"/>
    <w:rsid w:val="00E17DE2"/>
    <w:rsid w:val="00E228E0"/>
    <w:rsid w:val="00E27698"/>
    <w:rsid w:val="00E32B70"/>
    <w:rsid w:val="00E339F1"/>
    <w:rsid w:val="00E36228"/>
    <w:rsid w:val="00E362C8"/>
    <w:rsid w:val="00E36FF2"/>
    <w:rsid w:val="00E418E5"/>
    <w:rsid w:val="00E44E7C"/>
    <w:rsid w:val="00E457ED"/>
    <w:rsid w:val="00E45F2A"/>
    <w:rsid w:val="00E46B3A"/>
    <w:rsid w:val="00E507BA"/>
    <w:rsid w:val="00E53159"/>
    <w:rsid w:val="00E60DF5"/>
    <w:rsid w:val="00E66D21"/>
    <w:rsid w:val="00E75757"/>
    <w:rsid w:val="00E85DA7"/>
    <w:rsid w:val="00E90E07"/>
    <w:rsid w:val="00E91BAB"/>
    <w:rsid w:val="00E9320A"/>
    <w:rsid w:val="00E944BB"/>
    <w:rsid w:val="00E97B80"/>
    <w:rsid w:val="00EA0703"/>
    <w:rsid w:val="00EA40EB"/>
    <w:rsid w:val="00EA424A"/>
    <w:rsid w:val="00EB03E2"/>
    <w:rsid w:val="00EB1C10"/>
    <w:rsid w:val="00EB3FA1"/>
    <w:rsid w:val="00EB58BD"/>
    <w:rsid w:val="00EB5A15"/>
    <w:rsid w:val="00EB61F6"/>
    <w:rsid w:val="00EB7D7C"/>
    <w:rsid w:val="00EC0132"/>
    <w:rsid w:val="00EC4E9F"/>
    <w:rsid w:val="00ED14BE"/>
    <w:rsid w:val="00ED434A"/>
    <w:rsid w:val="00ED7F25"/>
    <w:rsid w:val="00EE0355"/>
    <w:rsid w:val="00EE5550"/>
    <w:rsid w:val="00EF11BD"/>
    <w:rsid w:val="00EF2889"/>
    <w:rsid w:val="00EF6144"/>
    <w:rsid w:val="00F02524"/>
    <w:rsid w:val="00F02E88"/>
    <w:rsid w:val="00F04BF1"/>
    <w:rsid w:val="00F0704C"/>
    <w:rsid w:val="00F11ABC"/>
    <w:rsid w:val="00F13A14"/>
    <w:rsid w:val="00F33526"/>
    <w:rsid w:val="00F35276"/>
    <w:rsid w:val="00F42D5B"/>
    <w:rsid w:val="00F456DC"/>
    <w:rsid w:val="00F462B9"/>
    <w:rsid w:val="00F46820"/>
    <w:rsid w:val="00F46C5A"/>
    <w:rsid w:val="00F50560"/>
    <w:rsid w:val="00F53306"/>
    <w:rsid w:val="00F533A1"/>
    <w:rsid w:val="00F61335"/>
    <w:rsid w:val="00F62693"/>
    <w:rsid w:val="00F64650"/>
    <w:rsid w:val="00F74999"/>
    <w:rsid w:val="00F80DAF"/>
    <w:rsid w:val="00F829E3"/>
    <w:rsid w:val="00F8437F"/>
    <w:rsid w:val="00F85585"/>
    <w:rsid w:val="00F90E83"/>
    <w:rsid w:val="00F935F0"/>
    <w:rsid w:val="00F97E27"/>
    <w:rsid w:val="00FA101D"/>
    <w:rsid w:val="00FA20E7"/>
    <w:rsid w:val="00FA3BB6"/>
    <w:rsid w:val="00FA7140"/>
    <w:rsid w:val="00FC2550"/>
    <w:rsid w:val="00FC302C"/>
    <w:rsid w:val="00FC76A9"/>
    <w:rsid w:val="00FD1754"/>
    <w:rsid w:val="00FD1E6A"/>
    <w:rsid w:val="00FD6ABF"/>
    <w:rsid w:val="00FD7002"/>
    <w:rsid w:val="00FF0EF7"/>
    <w:rsid w:val="00FF4295"/>
    <w:rsid w:val="00FF4359"/>
    <w:rsid w:val="01FF4BB6"/>
    <w:rsid w:val="03F11C32"/>
    <w:rsid w:val="05FF95EF"/>
    <w:rsid w:val="077B2B53"/>
    <w:rsid w:val="0973778C"/>
    <w:rsid w:val="09FB4486"/>
    <w:rsid w:val="0AF93EB9"/>
    <w:rsid w:val="0AFFBCC4"/>
    <w:rsid w:val="0B1A5AD5"/>
    <w:rsid w:val="0B410D54"/>
    <w:rsid w:val="0E4ED8BF"/>
    <w:rsid w:val="0E7F0A0E"/>
    <w:rsid w:val="0EAFFF35"/>
    <w:rsid w:val="0F7CDC5F"/>
    <w:rsid w:val="0FEE170D"/>
    <w:rsid w:val="11A0B258"/>
    <w:rsid w:val="11FFCAB7"/>
    <w:rsid w:val="12A47C9C"/>
    <w:rsid w:val="13982678"/>
    <w:rsid w:val="13BF1C97"/>
    <w:rsid w:val="13CD0CCD"/>
    <w:rsid w:val="15FE966A"/>
    <w:rsid w:val="177E9C2C"/>
    <w:rsid w:val="177F5EA2"/>
    <w:rsid w:val="17EEE6AF"/>
    <w:rsid w:val="17FF03F7"/>
    <w:rsid w:val="18CC235F"/>
    <w:rsid w:val="1A561941"/>
    <w:rsid w:val="1B7D2DAB"/>
    <w:rsid w:val="1BCF21F2"/>
    <w:rsid w:val="1BD72281"/>
    <w:rsid w:val="1CFD2939"/>
    <w:rsid w:val="1D772184"/>
    <w:rsid w:val="1DAE42EC"/>
    <w:rsid w:val="1DFDAC8A"/>
    <w:rsid w:val="1E7D7822"/>
    <w:rsid w:val="1EB681F3"/>
    <w:rsid w:val="1EBE88D0"/>
    <w:rsid w:val="1EFE3878"/>
    <w:rsid w:val="1F7B40A5"/>
    <w:rsid w:val="1FB50D0A"/>
    <w:rsid w:val="1FBF3E13"/>
    <w:rsid w:val="1FBFECF4"/>
    <w:rsid w:val="1FDF113E"/>
    <w:rsid w:val="1FDFC19B"/>
    <w:rsid w:val="1FFF7B0C"/>
    <w:rsid w:val="202F346E"/>
    <w:rsid w:val="215DF240"/>
    <w:rsid w:val="224D02A6"/>
    <w:rsid w:val="22F71B6A"/>
    <w:rsid w:val="23FEC103"/>
    <w:rsid w:val="2595CDD2"/>
    <w:rsid w:val="25B9413A"/>
    <w:rsid w:val="26771E64"/>
    <w:rsid w:val="27E731AF"/>
    <w:rsid w:val="27EDC190"/>
    <w:rsid w:val="27FF2FFB"/>
    <w:rsid w:val="27FF7241"/>
    <w:rsid w:val="29FF22C5"/>
    <w:rsid w:val="2B2AF37D"/>
    <w:rsid w:val="2BB7A309"/>
    <w:rsid w:val="2BBB1B03"/>
    <w:rsid w:val="2BEB0864"/>
    <w:rsid w:val="2BEB5CBE"/>
    <w:rsid w:val="2D7DE830"/>
    <w:rsid w:val="2DD64578"/>
    <w:rsid w:val="2E06778F"/>
    <w:rsid w:val="2E1D3806"/>
    <w:rsid w:val="2E6BA404"/>
    <w:rsid w:val="2E7BB536"/>
    <w:rsid w:val="2F769B18"/>
    <w:rsid w:val="2F7D083F"/>
    <w:rsid w:val="2F7DF507"/>
    <w:rsid w:val="2F7FC226"/>
    <w:rsid w:val="2FBAC6C9"/>
    <w:rsid w:val="2FDFFAB9"/>
    <w:rsid w:val="2FEE1C01"/>
    <w:rsid w:val="2FF1B4C1"/>
    <w:rsid w:val="2FFE5B51"/>
    <w:rsid w:val="2FFF2E85"/>
    <w:rsid w:val="317FEC43"/>
    <w:rsid w:val="31FFF5D6"/>
    <w:rsid w:val="325FA9D8"/>
    <w:rsid w:val="32F79570"/>
    <w:rsid w:val="32FFC678"/>
    <w:rsid w:val="339AA011"/>
    <w:rsid w:val="33B07EA8"/>
    <w:rsid w:val="33CEBF45"/>
    <w:rsid w:val="33F33DA4"/>
    <w:rsid w:val="3445105A"/>
    <w:rsid w:val="3557EFA1"/>
    <w:rsid w:val="356BD7AF"/>
    <w:rsid w:val="357BD22B"/>
    <w:rsid w:val="35B00AA5"/>
    <w:rsid w:val="35C52F19"/>
    <w:rsid w:val="35F531FF"/>
    <w:rsid w:val="367C2272"/>
    <w:rsid w:val="36A551ED"/>
    <w:rsid w:val="36DE937B"/>
    <w:rsid w:val="374C01EA"/>
    <w:rsid w:val="376D85D3"/>
    <w:rsid w:val="379E05B0"/>
    <w:rsid w:val="37BC911D"/>
    <w:rsid w:val="37BFD4F9"/>
    <w:rsid w:val="37CDBB82"/>
    <w:rsid w:val="37CF6449"/>
    <w:rsid w:val="37F9E05A"/>
    <w:rsid w:val="392D9C8B"/>
    <w:rsid w:val="39F5DE67"/>
    <w:rsid w:val="3A7682C7"/>
    <w:rsid w:val="3AE73A9C"/>
    <w:rsid w:val="3B5C5FE1"/>
    <w:rsid w:val="3BB7DAF1"/>
    <w:rsid w:val="3BBF11B9"/>
    <w:rsid w:val="3BCFC08B"/>
    <w:rsid w:val="3BD5C2B3"/>
    <w:rsid w:val="3BDF11AC"/>
    <w:rsid w:val="3BEB9699"/>
    <w:rsid w:val="3BF7A5CE"/>
    <w:rsid w:val="3BFA8465"/>
    <w:rsid w:val="3BFDEB51"/>
    <w:rsid w:val="3CDF34EF"/>
    <w:rsid w:val="3DA587B4"/>
    <w:rsid w:val="3DBF386E"/>
    <w:rsid w:val="3DE926F6"/>
    <w:rsid w:val="3DEBDA8D"/>
    <w:rsid w:val="3DF3DFFA"/>
    <w:rsid w:val="3DF66EF9"/>
    <w:rsid w:val="3DFF6AEC"/>
    <w:rsid w:val="3DFFDF31"/>
    <w:rsid w:val="3DFFEB45"/>
    <w:rsid w:val="3E555FD4"/>
    <w:rsid w:val="3E5F6E62"/>
    <w:rsid w:val="3E6F814B"/>
    <w:rsid w:val="3E7F429E"/>
    <w:rsid w:val="3E7FB5FA"/>
    <w:rsid w:val="3EAA2FAA"/>
    <w:rsid w:val="3EDA25A8"/>
    <w:rsid w:val="3EDB8772"/>
    <w:rsid w:val="3EF9F97C"/>
    <w:rsid w:val="3EFF42D8"/>
    <w:rsid w:val="3F37F894"/>
    <w:rsid w:val="3F59894F"/>
    <w:rsid w:val="3F5FC0C9"/>
    <w:rsid w:val="3F6F486C"/>
    <w:rsid w:val="3F776E0E"/>
    <w:rsid w:val="3F7DD486"/>
    <w:rsid w:val="3F7F2A37"/>
    <w:rsid w:val="3F7FEBA9"/>
    <w:rsid w:val="3FBD2B8D"/>
    <w:rsid w:val="3FBD6E56"/>
    <w:rsid w:val="3FBE8039"/>
    <w:rsid w:val="3FBEF57C"/>
    <w:rsid w:val="3FC7DBEE"/>
    <w:rsid w:val="3FCD5666"/>
    <w:rsid w:val="3FCF1EBC"/>
    <w:rsid w:val="3FDF61D0"/>
    <w:rsid w:val="3FE3962B"/>
    <w:rsid w:val="3FEDF6D2"/>
    <w:rsid w:val="3FEF40DD"/>
    <w:rsid w:val="3FEF9E3D"/>
    <w:rsid w:val="3FF5B105"/>
    <w:rsid w:val="3FF74A02"/>
    <w:rsid w:val="3FF78814"/>
    <w:rsid w:val="3FFB8D58"/>
    <w:rsid w:val="3FFBF292"/>
    <w:rsid w:val="3FFE1910"/>
    <w:rsid w:val="3FFF2111"/>
    <w:rsid w:val="3FFF85ED"/>
    <w:rsid w:val="3FFF8CFE"/>
    <w:rsid w:val="3FFFBD7F"/>
    <w:rsid w:val="41BF9CF2"/>
    <w:rsid w:val="438F36DB"/>
    <w:rsid w:val="43FF7520"/>
    <w:rsid w:val="45FCE189"/>
    <w:rsid w:val="475FD1F4"/>
    <w:rsid w:val="477F07E1"/>
    <w:rsid w:val="47F19F1A"/>
    <w:rsid w:val="47F79937"/>
    <w:rsid w:val="47FD00C7"/>
    <w:rsid w:val="4ADFF1F0"/>
    <w:rsid w:val="4B77FCDA"/>
    <w:rsid w:val="4BA96B4B"/>
    <w:rsid w:val="4BBF050C"/>
    <w:rsid w:val="4BDFF008"/>
    <w:rsid w:val="4BFFFC88"/>
    <w:rsid w:val="4C45D944"/>
    <w:rsid w:val="4CF7B0C8"/>
    <w:rsid w:val="4D3B9608"/>
    <w:rsid w:val="4DD71492"/>
    <w:rsid w:val="4DDFE150"/>
    <w:rsid w:val="4E6A403D"/>
    <w:rsid w:val="4EDF8007"/>
    <w:rsid w:val="4F53094A"/>
    <w:rsid w:val="4F67C906"/>
    <w:rsid w:val="4F773DCB"/>
    <w:rsid w:val="4F963D62"/>
    <w:rsid w:val="4F9D0AB7"/>
    <w:rsid w:val="4FEBDE6A"/>
    <w:rsid w:val="4FFE8D3A"/>
    <w:rsid w:val="4FFFFE55"/>
    <w:rsid w:val="50270100"/>
    <w:rsid w:val="52BDC442"/>
    <w:rsid w:val="53EF9F14"/>
    <w:rsid w:val="554079CF"/>
    <w:rsid w:val="55BB933B"/>
    <w:rsid w:val="5731251C"/>
    <w:rsid w:val="577737DD"/>
    <w:rsid w:val="579723F3"/>
    <w:rsid w:val="57A74ED8"/>
    <w:rsid w:val="57B6F603"/>
    <w:rsid w:val="57BF2069"/>
    <w:rsid w:val="57D9634D"/>
    <w:rsid w:val="57DF23D7"/>
    <w:rsid w:val="57DFF951"/>
    <w:rsid w:val="57EF73E4"/>
    <w:rsid w:val="57F31963"/>
    <w:rsid w:val="57FFB62B"/>
    <w:rsid w:val="59FED9FC"/>
    <w:rsid w:val="59FF7CB8"/>
    <w:rsid w:val="5AFF4751"/>
    <w:rsid w:val="5B7F9146"/>
    <w:rsid w:val="5B95DBD1"/>
    <w:rsid w:val="5BBFF097"/>
    <w:rsid w:val="5BE7BE2C"/>
    <w:rsid w:val="5BED7297"/>
    <w:rsid w:val="5BEFD623"/>
    <w:rsid w:val="5BF7A17F"/>
    <w:rsid w:val="5C7F0D8B"/>
    <w:rsid w:val="5CBF3CDD"/>
    <w:rsid w:val="5CF4EF6E"/>
    <w:rsid w:val="5CFBF8F8"/>
    <w:rsid w:val="5CFE1024"/>
    <w:rsid w:val="5CFF1595"/>
    <w:rsid w:val="5CFF780B"/>
    <w:rsid w:val="5D1FD97A"/>
    <w:rsid w:val="5D7BB2ED"/>
    <w:rsid w:val="5D7FC76D"/>
    <w:rsid w:val="5DD27150"/>
    <w:rsid w:val="5DFB65D1"/>
    <w:rsid w:val="5DFF5E9E"/>
    <w:rsid w:val="5DFFACA0"/>
    <w:rsid w:val="5DFFC4FF"/>
    <w:rsid w:val="5E52B282"/>
    <w:rsid w:val="5E7E076F"/>
    <w:rsid w:val="5EBB9E1C"/>
    <w:rsid w:val="5EBD1054"/>
    <w:rsid w:val="5EBF4732"/>
    <w:rsid w:val="5EBF4739"/>
    <w:rsid w:val="5EE37462"/>
    <w:rsid w:val="5EECDB1E"/>
    <w:rsid w:val="5EEF3334"/>
    <w:rsid w:val="5EFE3F2E"/>
    <w:rsid w:val="5F3A8E43"/>
    <w:rsid w:val="5F3E9CE5"/>
    <w:rsid w:val="5F7F3C20"/>
    <w:rsid w:val="5F7FB5B1"/>
    <w:rsid w:val="5FA8F955"/>
    <w:rsid w:val="5FB354CF"/>
    <w:rsid w:val="5FB50B61"/>
    <w:rsid w:val="5FB7A1D2"/>
    <w:rsid w:val="5FCA9F86"/>
    <w:rsid w:val="5FCEFA4F"/>
    <w:rsid w:val="5FDC1B69"/>
    <w:rsid w:val="5FDF00DE"/>
    <w:rsid w:val="5FEDDA44"/>
    <w:rsid w:val="5FEE718B"/>
    <w:rsid w:val="5FEF9A64"/>
    <w:rsid w:val="5FF34A7C"/>
    <w:rsid w:val="5FF790F0"/>
    <w:rsid w:val="5FFB6EF3"/>
    <w:rsid w:val="5FFBA320"/>
    <w:rsid w:val="5FFDDF25"/>
    <w:rsid w:val="5FFEB925"/>
    <w:rsid w:val="5FFEC092"/>
    <w:rsid w:val="5FFF2243"/>
    <w:rsid w:val="5FFFAEC6"/>
    <w:rsid w:val="617CEE40"/>
    <w:rsid w:val="618F28D0"/>
    <w:rsid w:val="63668429"/>
    <w:rsid w:val="637D948E"/>
    <w:rsid w:val="63BE4AD7"/>
    <w:rsid w:val="64FF5B60"/>
    <w:rsid w:val="657FF04D"/>
    <w:rsid w:val="65BC489B"/>
    <w:rsid w:val="65DF48FE"/>
    <w:rsid w:val="65EF4249"/>
    <w:rsid w:val="66BBFCAA"/>
    <w:rsid w:val="66DFA5F0"/>
    <w:rsid w:val="66FEF981"/>
    <w:rsid w:val="66FF15C6"/>
    <w:rsid w:val="677E5B23"/>
    <w:rsid w:val="677EC7B6"/>
    <w:rsid w:val="67837EE3"/>
    <w:rsid w:val="679FA0A3"/>
    <w:rsid w:val="67AD7266"/>
    <w:rsid w:val="67D2E3B3"/>
    <w:rsid w:val="67D5A78B"/>
    <w:rsid w:val="67EA032E"/>
    <w:rsid w:val="67FD9574"/>
    <w:rsid w:val="682E2045"/>
    <w:rsid w:val="6836348D"/>
    <w:rsid w:val="68DFD072"/>
    <w:rsid w:val="69F71B66"/>
    <w:rsid w:val="6A5F2451"/>
    <w:rsid w:val="6A705CDA"/>
    <w:rsid w:val="6B65E534"/>
    <w:rsid w:val="6B6F931C"/>
    <w:rsid w:val="6BDF6468"/>
    <w:rsid w:val="6BFE4FCA"/>
    <w:rsid w:val="6BFF023D"/>
    <w:rsid w:val="6BFFAE99"/>
    <w:rsid w:val="6CACAFCC"/>
    <w:rsid w:val="6CB53FC6"/>
    <w:rsid w:val="6CEB5630"/>
    <w:rsid w:val="6CF10B41"/>
    <w:rsid w:val="6D6D269C"/>
    <w:rsid w:val="6DAAE2B8"/>
    <w:rsid w:val="6DBFDADD"/>
    <w:rsid w:val="6DDDD1AF"/>
    <w:rsid w:val="6DDF29C6"/>
    <w:rsid w:val="6DDF9C43"/>
    <w:rsid w:val="6DDFBDF5"/>
    <w:rsid w:val="6DFDBFD2"/>
    <w:rsid w:val="6DFFCCA4"/>
    <w:rsid w:val="6E6E0DBB"/>
    <w:rsid w:val="6E7FD974"/>
    <w:rsid w:val="6EE5892F"/>
    <w:rsid w:val="6EF6C060"/>
    <w:rsid w:val="6EFD70CE"/>
    <w:rsid w:val="6EFEECAD"/>
    <w:rsid w:val="6EFFBCBC"/>
    <w:rsid w:val="6EFFCA20"/>
    <w:rsid w:val="6F3E82B0"/>
    <w:rsid w:val="6F3F7560"/>
    <w:rsid w:val="6F5FCC91"/>
    <w:rsid w:val="6F6952C2"/>
    <w:rsid w:val="6F798D42"/>
    <w:rsid w:val="6F7C5799"/>
    <w:rsid w:val="6F7F1F33"/>
    <w:rsid w:val="6F7FDC1F"/>
    <w:rsid w:val="6F9F2822"/>
    <w:rsid w:val="6FAB92CD"/>
    <w:rsid w:val="6FB6654A"/>
    <w:rsid w:val="6FDF596C"/>
    <w:rsid w:val="6FDFF6E9"/>
    <w:rsid w:val="6FE7D387"/>
    <w:rsid w:val="6FE7E008"/>
    <w:rsid w:val="6FEF353A"/>
    <w:rsid w:val="6FEFCA63"/>
    <w:rsid w:val="6FF2F17D"/>
    <w:rsid w:val="6FF434F2"/>
    <w:rsid w:val="6FF757F3"/>
    <w:rsid w:val="6FF9171F"/>
    <w:rsid w:val="6FFB67ED"/>
    <w:rsid w:val="6FFE8299"/>
    <w:rsid w:val="6FFFD9D1"/>
    <w:rsid w:val="71AFBEB6"/>
    <w:rsid w:val="71F9E889"/>
    <w:rsid w:val="723FE7F0"/>
    <w:rsid w:val="725929C1"/>
    <w:rsid w:val="7278D880"/>
    <w:rsid w:val="727FEC15"/>
    <w:rsid w:val="729F49A8"/>
    <w:rsid w:val="72EFEB28"/>
    <w:rsid w:val="72FBE0AE"/>
    <w:rsid w:val="72FBFC6B"/>
    <w:rsid w:val="732F08EC"/>
    <w:rsid w:val="737A8B75"/>
    <w:rsid w:val="73DF794D"/>
    <w:rsid w:val="73DF7F3A"/>
    <w:rsid w:val="73E75034"/>
    <w:rsid w:val="73E92510"/>
    <w:rsid w:val="73EB87AC"/>
    <w:rsid w:val="73EF62A0"/>
    <w:rsid w:val="73FE96E5"/>
    <w:rsid w:val="74435C1D"/>
    <w:rsid w:val="749DBC7D"/>
    <w:rsid w:val="74AA7366"/>
    <w:rsid w:val="74BED659"/>
    <w:rsid w:val="74CE13F4"/>
    <w:rsid w:val="74DC87FC"/>
    <w:rsid w:val="74FF35AB"/>
    <w:rsid w:val="74FFB540"/>
    <w:rsid w:val="75AACB14"/>
    <w:rsid w:val="75B9B917"/>
    <w:rsid w:val="75BF7F9E"/>
    <w:rsid w:val="75DA3A85"/>
    <w:rsid w:val="75DBEFA5"/>
    <w:rsid w:val="75DDEDD5"/>
    <w:rsid w:val="75DFEC48"/>
    <w:rsid w:val="75FE8955"/>
    <w:rsid w:val="7629AEC5"/>
    <w:rsid w:val="767BE13E"/>
    <w:rsid w:val="767ECE8D"/>
    <w:rsid w:val="76A30FCD"/>
    <w:rsid w:val="76B71263"/>
    <w:rsid w:val="76F9636D"/>
    <w:rsid w:val="76FF413B"/>
    <w:rsid w:val="76FF56B4"/>
    <w:rsid w:val="7715D222"/>
    <w:rsid w:val="77373E85"/>
    <w:rsid w:val="775D8D78"/>
    <w:rsid w:val="776CCFB3"/>
    <w:rsid w:val="776FF4A6"/>
    <w:rsid w:val="7771A00B"/>
    <w:rsid w:val="777EDB32"/>
    <w:rsid w:val="777F8D62"/>
    <w:rsid w:val="77BB48F0"/>
    <w:rsid w:val="77BF33A7"/>
    <w:rsid w:val="77BF47A1"/>
    <w:rsid w:val="77BF920E"/>
    <w:rsid w:val="77BFBF45"/>
    <w:rsid w:val="77DF1E38"/>
    <w:rsid w:val="77E48F95"/>
    <w:rsid w:val="77E77CB3"/>
    <w:rsid w:val="77ED6EBD"/>
    <w:rsid w:val="77EE0302"/>
    <w:rsid w:val="77F3C1D8"/>
    <w:rsid w:val="77FB20E1"/>
    <w:rsid w:val="77FDFC24"/>
    <w:rsid w:val="77FE0DE5"/>
    <w:rsid w:val="77FF565C"/>
    <w:rsid w:val="77FF8042"/>
    <w:rsid w:val="78D406C7"/>
    <w:rsid w:val="78FDFC37"/>
    <w:rsid w:val="78FF3F02"/>
    <w:rsid w:val="79284984"/>
    <w:rsid w:val="797B3925"/>
    <w:rsid w:val="799FBD65"/>
    <w:rsid w:val="79BB073F"/>
    <w:rsid w:val="79FF464B"/>
    <w:rsid w:val="79FF988F"/>
    <w:rsid w:val="79FFCDDC"/>
    <w:rsid w:val="7A55863E"/>
    <w:rsid w:val="7A60B336"/>
    <w:rsid w:val="7ADF107C"/>
    <w:rsid w:val="7AEFD580"/>
    <w:rsid w:val="7AFF6195"/>
    <w:rsid w:val="7AFF86D1"/>
    <w:rsid w:val="7B3550B5"/>
    <w:rsid w:val="7B3EC0F8"/>
    <w:rsid w:val="7B3ED190"/>
    <w:rsid w:val="7B6B582F"/>
    <w:rsid w:val="7B7BAFD4"/>
    <w:rsid w:val="7B7FB30F"/>
    <w:rsid w:val="7BA7B453"/>
    <w:rsid w:val="7BA837FE"/>
    <w:rsid w:val="7BABB818"/>
    <w:rsid w:val="7BB6656B"/>
    <w:rsid w:val="7BB72508"/>
    <w:rsid w:val="7BBE44C6"/>
    <w:rsid w:val="7BBF1259"/>
    <w:rsid w:val="7BBF4A9F"/>
    <w:rsid w:val="7BD1497D"/>
    <w:rsid w:val="7BD5C00C"/>
    <w:rsid w:val="7BE7CC36"/>
    <w:rsid w:val="7BEB88A0"/>
    <w:rsid w:val="7BEDBF91"/>
    <w:rsid w:val="7BEE3090"/>
    <w:rsid w:val="7BEF8711"/>
    <w:rsid w:val="7BEFB280"/>
    <w:rsid w:val="7BEFE541"/>
    <w:rsid w:val="7BEFF3CC"/>
    <w:rsid w:val="7BF3A286"/>
    <w:rsid w:val="7BFB74A7"/>
    <w:rsid w:val="7BFB794B"/>
    <w:rsid w:val="7BFB9309"/>
    <w:rsid w:val="7BFC558D"/>
    <w:rsid w:val="7BFCFD0F"/>
    <w:rsid w:val="7BFD7979"/>
    <w:rsid w:val="7BFF644B"/>
    <w:rsid w:val="7BFF9E35"/>
    <w:rsid w:val="7BFFBA1A"/>
    <w:rsid w:val="7C3FB63F"/>
    <w:rsid w:val="7C6FF334"/>
    <w:rsid w:val="7CADB443"/>
    <w:rsid w:val="7CBA3AAE"/>
    <w:rsid w:val="7CDFADAC"/>
    <w:rsid w:val="7CE30291"/>
    <w:rsid w:val="7CF530A8"/>
    <w:rsid w:val="7CFB23A3"/>
    <w:rsid w:val="7CFBB9F6"/>
    <w:rsid w:val="7CFD07D9"/>
    <w:rsid w:val="7CFD8591"/>
    <w:rsid w:val="7CFF3901"/>
    <w:rsid w:val="7D6B0B7C"/>
    <w:rsid w:val="7D71D6B0"/>
    <w:rsid w:val="7D7C07CE"/>
    <w:rsid w:val="7D7F212C"/>
    <w:rsid w:val="7DAF19B5"/>
    <w:rsid w:val="7DAFA8EB"/>
    <w:rsid w:val="7DBA44D8"/>
    <w:rsid w:val="7DBD1B9B"/>
    <w:rsid w:val="7DBFA108"/>
    <w:rsid w:val="7DCFECEA"/>
    <w:rsid w:val="7DD132F9"/>
    <w:rsid w:val="7DD7DC41"/>
    <w:rsid w:val="7DDAFEBC"/>
    <w:rsid w:val="7DDE0208"/>
    <w:rsid w:val="7DDF29F8"/>
    <w:rsid w:val="7DE0D595"/>
    <w:rsid w:val="7DEB2861"/>
    <w:rsid w:val="7DEF098D"/>
    <w:rsid w:val="7DF7649A"/>
    <w:rsid w:val="7DFA12F0"/>
    <w:rsid w:val="7DFB0305"/>
    <w:rsid w:val="7DFDD26A"/>
    <w:rsid w:val="7E3F05D4"/>
    <w:rsid w:val="7E574EE1"/>
    <w:rsid w:val="7E7B5AB8"/>
    <w:rsid w:val="7E7E3D04"/>
    <w:rsid w:val="7E98D4A9"/>
    <w:rsid w:val="7E9E7A9F"/>
    <w:rsid w:val="7EAAB6E5"/>
    <w:rsid w:val="7EB5CDDD"/>
    <w:rsid w:val="7EBF486E"/>
    <w:rsid w:val="7EBF8733"/>
    <w:rsid w:val="7EDA3160"/>
    <w:rsid w:val="7EDF2294"/>
    <w:rsid w:val="7EDF942A"/>
    <w:rsid w:val="7EE4A136"/>
    <w:rsid w:val="7EF63ADA"/>
    <w:rsid w:val="7EFD0084"/>
    <w:rsid w:val="7EFD0B6F"/>
    <w:rsid w:val="7EFD10AB"/>
    <w:rsid w:val="7EFD505A"/>
    <w:rsid w:val="7EFE3A89"/>
    <w:rsid w:val="7EFFA9B3"/>
    <w:rsid w:val="7EFFAAC5"/>
    <w:rsid w:val="7EFFC6C0"/>
    <w:rsid w:val="7EFFCBB3"/>
    <w:rsid w:val="7F278CC9"/>
    <w:rsid w:val="7F2BAABA"/>
    <w:rsid w:val="7F2E2E1C"/>
    <w:rsid w:val="7F3B9531"/>
    <w:rsid w:val="7F3C367D"/>
    <w:rsid w:val="7F4F37BA"/>
    <w:rsid w:val="7F5BD532"/>
    <w:rsid w:val="7F6F168B"/>
    <w:rsid w:val="7F6F1F46"/>
    <w:rsid w:val="7F6F957D"/>
    <w:rsid w:val="7F76F0B9"/>
    <w:rsid w:val="7F7AF5E2"/>
    <w:rsid w:val="7F7BA818"/>
    <w:rsid w:val="7F7D2C6B"/>
    <w:rsid w:val="7F7D4834"/>
    <w:rsid w:val="7F937C7F"/>
    <w:rsid w:val="7F9CAD03"/>
    <w:rsid w:val="7F9F11C6"/>
    <w:rsid w:val="7FAF0FAB"/>
    <w:rsid w:val="7FB24155"/>
    <w:rsid w:val="7FB30948"/>
    <w:rsid w:val="7FB7F75E"/>
    <w:rsid w:val="7FBF8090"/>
    <w:rsid w:val="7FBFA621"/>
    <w:rsid w:val="7FBFF2D1"/>
    <w:rsid w:val="7FCC759E"/>
    <w:rsid w:val="7FCD5BC1"/>
    <w:rsid w:val="7FD8C58C"/>
    <w:rsid w:val="7FDBC200"/>
    <w:rsid w:val="7FDDC0D6"/>
    <w:rsid w:val="7FDE67C5"/>
    <w:rsid w:val="7FDEC5BD"/>
    <w:rsid w:val="7FDF188F"/>
    <w:rsid w:val="7FDF1F1E"/>
    <w:rsid w:val="7FDF6FD8"/>
    <w:rsid w:val="7FDF716E"/>
    <w:rsid w:val="7FE6F551"/>
    <w:rsid w:val="7FE970C6"/>
    <w:rsid w:val="7FEB12EE"/>
    <w:rsid w:val="7FEB3928"/>
    <w:rsid w:val="7FEBE758"/>
    <w:rsid w:val="7FEDDCF9"/>
    <w:rsid w:val="7FEDDDBF"/>
    <w:rsid w:val="7FEE0C66"/>
    <w:rsid w:val="7FEE16BC"/>
    <w:rsid w:val="7FEE301E"/>
    <w:rsid w:val="7FEF3156"/>
    <w:rsid w:val="7FEF6AA8"/>
    <w:rsid w:val="7FF39FE6"/>
    <w:rsid w:val="7FF50A9C"/>
    <w:rsid w:val="7FF55B85"/>
    <w:rsid w:val="7FF76179"/>
    <w:rsid w:val="7FF7B719"/>
    <w:rsid w:val="7FF7C148"/>
    <w:rsid w:val="7FF911CB"/>
    <w:rsid w:val="7FF97574"/>
    <w:rsid w:val="7FF99930"/>
    <w:rsid w:val="7FFAD6B9"/>
    <w:rsid w:val="7FFB4029"/>
    <w:rsid w:val="7FFBD17E"/>
    <w:rsid w:val="7FFCEA4C"/>
    <w:rsid w:val="7FFD20EC"/>
    <w:rsid w:val="7FFD420C"/>
    <w:rsid w:val="7FFE0359"/>
    <w:rsid w:val="7FFEB0DB"/>
    <w:rsid w:val="7FFF4DFB"/>
    <w:rsid w:val="7FFF9D7E"/>
    <w:rsid w:val="7FFFAA6B"/>
    <w:rsid w:val="7FFFB291"/>
    <w:rsid w:val="7FFFD883"/>
    <w:rsid w:val="7FFFE1A9"/>
    <w:rsid w:val="8D7FFAFF"/>
    <w:rsid w:val="8FBD129E"/>
    <w:rsid w:val="8FF5293D"/>
    <w:rsid w:val="94FF7F4C"/>
    <w:rsid w:val="953B8562"/>
    <w:rsid w:val="95553879"/>
    <w:rsid w:val="96DFF61A"/>
    <w:rsid w:val="976F0D88"/>
    <w:rsid w:val="992B3356"/>
    <w:rsid w:val="993639A2"/>
    <w:rsid w:val="99F777E8"/>
    <w:rsid w:val="9BC546A7"/>
    <w:rsid w:val="9D519F0E"/>
    <w:rsid w:val="9D99B9D6"/>
    <w:rsid w:val="9DB4F21A"/>
    <w:rsid w:val="9DF7D102"/>
    <w:rsid w:val="9DFEDB57"/>
    <w:rsid w:val="9EFF3CA4"/>
    <w:rsid w:val="9EFFBC6C"/>
    <w:rsid w:val="9F6F0AA9"/>
    <w:rsid w:val="9FAF0A52"/>
    <w:rsid w:val="9FB2E920"/>
    <w:rsid w:val="9FB48ED2"/>
    <w:rsid w:val="9FBB97AB"/>
    <w:rsid w:val="9FBF3BAC"/>
    <w:rsid w:val="9FCABD7E"/>
    <w:rsid w:val="9FDFEEF2"/>
    <w:rsid w:val="9FEFAD70"/>
    <w:rsid w:val="9FF5E3C8"/>
    <w:rsid w:val="9FFC9EF8"/>
    <w:rsid w:val="9FFE3D60"/>
    <w:rsid w:val="A3EB77A1"/>
    <w:rsid w:val="A3F7DFB6"/>
    <w:rsid w:val="A53348D1"/>
    <w:rsid w:val="A5DE2836"/>
    <w:rsid w:val="A67F6F2C"/>
    <w:rsid w:val="A7BBB536"/>
    <w:rsid w:val="A7E97513"/>
    <w:rsid w:val="A8774DD8"/>
    <w:rsid w:val="A97FE927"/>
    <w:rsid w:val="A9ACCC37"/>
    <w:rsid w:val="A9BDE886"/>
    <w:rsid w:val="AAD92E4F"/>
    <w:rsid w:val="AAEF94F0"/>
    <w:rsid w:val="ABAB6BA2"/>
    <w:rsid w:val="ACFF635F"/>
    <w:rsid w:val="ACFF74E1"/>
    <w:rsid w:val="ADBCD275"/>
    <w:rsid w:val="ADF769D4"/>
    <w:rsid w:val="AEBA231C"/>
    <w:rsid w:val="AF371D51"/>
    <w:rsid w:val="AF5DD697"/>
    <w:rsid w:val="AF7F6800"/>
    <w:rsid w:val="AFAD5565"/>
    <w:rsid w:val="AFDBAC25"/>
    <w:rsid w:val="AFDD9E2E"/>
    <w:rsid w:val="AFF36937"/>
    <w:rsid w:val="AFFDFE7B"/>
    <w:rsid w:val="B1E1F112"/>
    <w:rsid w:val="B27F7B3B"/>
    <w:rsid w:val="B2CC9420"/>
    <w:rsid w:val="B2FD0CA2"/>
    <w:rsid w:val="B3D5CD96"/>
    <w:rsid w:val="B3DF4531"/>
    <w:rsid w:val="B3FD5E30"/>
    <w:rsid w:val="B3FF5D8F"/>
    <w:rsid w:val="B3FF9DB3"/>
    <w:rsid w:val="B47C8B43"/>
    <w:rsid w:val="B57E9819"/>
    <w:rsid w:val="B5DFC78B"/>
    <w:rsid w:val="B5FF934B"/>
    <w:rsid w:val="B666AED9"/>
    <w:rsid w:val="B6A9AEF0"/>
    <w:rsid w:val="B6B73CAE"/>
    <w:rsid w:val="B77DA291"/>
    <w:rsid w:val="B77E668C"/>
    <w:rsid w:val="B77F3A3F"/>
    <w:rsid w:val="B7A7F5B5"/>
    <w:rsid w:val="B7DF3372"/>
    <w:rsid w:val="B7DF9F1B"/>
    <w:rsid w:val="B7E4F21E"/>
    <w:rsid w:val="B7F64A90"/>
    <w:rsid w:val="B9F6E75E"/>
    <w:rsid w:val="B9FD583A"/>
    <w:rsid w:val="BA7650C7"/>
    <w:rsid w:val="BADCC34D"/>
    <w:rsid w:val="BAFD8559"/>
    <w:rsid w:val="BB5B97E7"/>
    <w:rsid w:val="BB77AF9F"/>
    <w:rsid w:val="BB8FDA6D"/>
    <w:rsid w:val="BBBC08C0"/>
    <w:rsid w:val="BBBD65F7"/>
    <w:rsid w:val="BBBDB973"/>
    <w:rsid w:val="BBBDF43E"/>
    <w:rsid w:val="BBCF62C7"/>
    <w:rsid w:val="BBCFA682"/>
    <w:rsid w:val="BBE680D2"/>
    <w:rsid w:val="BCBBF953"/>
    <w:rsid w:val="BCEFCDCF"/>
    <w:rsid w:val="BCF95F2B"/>
    <w:rsid w:val="BCF9768B"/>
    <w:rsid w:val="BD574DE6"/>
    <w:rsid w:val="BD7BE298"/>
    <w:rsid w:val="BD7F1F9B"/>
    <w:rsid w:val="BDAFB1BB"/>
    <w:rsid w:val="BDB7873B"/>
    <w:rsid w:val="BDBF7FE4"/>
    <w:rsid w:val="BDC515C8"/>
    <w:rsid w:val="BDD71813"/>
    <w:rsid w:val="BDE5726C"/>
    <w:rsid w:val="BDEFD62C"/>
    <w:rsid w:val="BDFE0EC0"/>
    <w:rsid w:val="BE31B191"/>
    <w:rsid w:val="BE38EA24"/>
    <w:rsid w:val="BE4FEE17"/>
    <w:rsid w:val="BEA3299F"/>
    <w:rsid w:val="BEBF47B7"/>
    <w:rsid w:val="BEBFFBBF"/>
    <w:rsid w:val="BED73C6F"/>
    <w:rsid w:val="BEDFF15C"/>
    <w:rsid w:val="BEEDAA4A"/>
    <w:rsid w:val="BEEF3107"/>
    <w:rsid w:val="BF0B7F97"/>
    <w:rsid w:val="BF593692"/>
    <w:rsid w:val="BF656459"/>
    <w:rsid w:val="BF7D272C"/>
    <w:rsid w:val="BF7D8692"/>
    <w:rsid w:val="BF7DAE5F"/>
    <w:rsid w:val="BF7F51B2"/>
    <w:rsid w:val="BFBA46B8"/>
    <w:rsid w:val="BFBDE070"/>
    <w:rsid w:val="BFBE7615"/>
    <w:rsid w:val="BFBF3163"/>
    <w:rsid w:val="BFD54509"/>
    <w:rsid w:val="BFEF24F7"/>
    <w:rsid w:val="BFF38803"/>
    <w:rsid w:val="BFF395E5"/>
    <w:rsid w:val="BFF63E08"/>
    <w:rsid w:val="BFFB01FD"/>
    <w:rsid w:val="BFFB091F"/>
    <w:rsid w:val="BFFB12DF"/>
    <w:rsid w:val="BFFB4A63"/>
    <w:rsid w:val="BFFD49D8"/>
    <w:rsid w:val="BFFDEE4A"/>
    <w:rsid w:val="BFFF0D2D"/>
    <w:rsid w:val="C376F6E8"/>
    <w:rsid w:val="C37D5D76"/>
    <w:rsid w:val="C3FBBCD9"/>
    <w:rsid w:val="C3FBDF6B"/>
    <w:rsid w:val="C5BFFD9F"/>
    <w:rsid w:val="C777DB4C"/>
    <w:rsid w:val="C7D76AC6"/>
    <w:rsid w:val="C7F3281B"/>
    <w:rsid w:val="C7FB5C80"/>
    <w:rsid w:val="CAFC2D13"/>
    <w:rsid w:val="CAFD591C"/>
    <w:rsid w:val="CC7EA957"/>
    <w:rsid w:val="CCE40CA0"/>
    <w:rsid w:val="CD6F54FE"/>
    <w:rsid w:val="CDDBFD2E"/>
    <w:rsid w:val="CEABD826"/>
    <w:rsid w:val="CEDEC45D"/>
    <w:rsid w:val="CEF67F5D"/>
    <w:rsid w:val="CEFF4085"/>
    <w:rsid w:val="CEFFC40C"/>
    <w:rsid w:val="CF0A622C"/>
    <w:rsid w:val="CF77D938"/>
    <w:rsid w:val="CFAD1C27"/>
    <w:rsid w:val="CFDDA8FB"/>
    <w:rsid w:val="CFEFCA30"/>
    <w:rsid w:val="CFF763F4"/>
    <w:rsid w:val="CFFDB1C9"/>
    <w:rsid w:val="CFFF4185"/>
    <w:rsid w:val="CFFFEC42"/>
    <w:rsid w:val="D4FDB628"/>
    <w:rsid w:val="D56A253F"/>
    <w:rsid w:val="D56BE8FB"/>
    <w:rsid w:val="D5712174"/>
    <w:rsid w:val="D5BFD3E7"/>
    <w:rsid w:val="D5E81F3A"/>
    <w:rsid w:val="D5E968F2"/>
    <w:rsid w:val="D5FF0B89"/>
    <w:rsid w:val="D65E5DCC"/>
    <w:rsid w:val="D67B6983"/>
    <w:rsid w:val="D6BF211D"/>
    <w:rsid w:val="D6BFBF15"/>
    <w:rsid w:val="D6FDD366"/>
    <w:rsid w:val="D738D484"/>
    <w:rsid w:val="D78D279A"/>
    <w:rsid w:val="D7B663EF"/>
    <w:rsid w:val="D7BAAB6A"/>
    <w:rsid w:val="D7F70FC6"/>
    <w:rsid w:val="D7FE55D2"/>
    <w:rsid w:val="D8BFDFC8"/>
    <w:rsid w:val="D90F6B9A"/>
    <w:rsid w:val="D93DB4B4"/>
    <w:rsid w:val="D97EFA3F"/>
    <w:rsid w:val="D9C7B9F8"/>
    <w:rsid w:val="D9FB47CB"/>
    <w:rsid w:val="DA5F130F"/>
    <w:rsid w:val="DA75E375"/>
    <w:rsid w:val="DB3D88A8"/>
    <w:rsid w:val="DB7EF987"/>
    <w:rsid w:val="DBBF6AD0"/>
    <w:rsid w:val="DBDC90F4"/>
    <w:rsid w:val="DBE327B6"/>
    <w:rsid w:val="DBF7D0F8"/>
    <w:rsid w:val="DBFB55B2"/>
    <w:rsid w:val="DBFBFEEC"/>
    <w:rsid w:val="DBFF33E3"/>
    <w:rsid w:val="DBFF757B"/>
    <w:rsid w:val="DBFFB576"/>
    <w:rsid w:val="DC6706FF"/>
    <w:rsid w:val="DD6F66F8"/>
    <w:rsid w:val="DD7A3B8E"/>
    <w:rsid w:val="DD9AB2D5"/>
    <w:rsid w:val="DDDBBB2F"/>
    <w:rsid w:val="DDFE4D3D"/>
    <w:rsid w:val="DE3A1A9C"/>
    <w:rsid w:val="DE718705"/>
    <w:rsid w:val="DE7B75FD"/>
    <w:rsid w:val="DE7D9273"/>
    <w:rsid w:val="DED689E2"/>
    <w:rsid w:val="DEF77233"/>
    <w:rsid w:val="DEFDFB13"/>
    <w:rsid w:val="DEFF7347"/>
    <w:rsid w:val="DF19EE46"/>
    <w:rsid w:val="DF3F5A77"/>
    <w:rsid w:val="DF76E898"/>
    <w:rsid w:val="DF776002"/>
    <w:rsid w:val="DF77CF17"/>
    <w:rsid w:val="DF7E2032"/>
    <w:rsid w:val="DF7F0ED4"/>
    <w:rsid w:val="DF7F493A"/>
    <w:rsid w:val="DF7FE1E2"/>
    <w:rsid w:val="DF9E6FEE"/>
    <w:rsid w:val="DF9E968A"/>
    <w:rsid w:val="DFAD2877"/>
    <w:rsid w:val="DFBB875A"/>
    <w:rsid w:val="DFBF5B33"/>
    <w:rsid w:val="DFCB556E"/>
    <w:rsid w:val="DFD671C1"/>
    <w:rsid w:val="DFDD9E41"/>
    <w:rsid w:val="DFECA187"/>
    <w:rsid w:val="DFF7378D"/>
    <w:rsid w:val="DFFBAD9F"/>
    <w:rsid w:val="DFFBB313"/>
    <w:rsid w:val="DFFD65DA"/>
    <w:rsid w:val="DFFE5479"/>
    <w:rsid w:val="DFFE9E86"/>
    <w:rsid w:val="DFFF21DC"/>
    <w:rsid w:val="E3DF43A3"/>
    <w:rsid w:val="E61E8BBD"/>
    <w:rsid w:val="E7DFA452"/>
    <w:rsid w:val="E7FE8E52"/>
    <w:rsid w:val="E7FF0D2C"/>
    <w:rsid w:val="E86D95F5"/>
    <w:rsid w:val="E8C15811"/>
    <w:rsid w:val="EA4EF0F9"/>
    <w:rsid w:val="EA7D7D2A"/>
    <w:rsid w:val="EABF2BAB"/>
    <w:rsid w:val="EAFF5BB2"/>
    <w:rsid w:val="EB279EB2"/>
    <w:rsid w:val="EB376889"/>
    <w:rsid w:val="EB53DFBD"/>
    <w:rsid w:val="EB7B4C17"/>
    <w:rsid w:val="EB93746C"/>
    <w:rsid w:val="EBBF273A"/>
    <w:rsid w:val="EBBFC43E"/>
    <w:rsid w:val="EBBFF4DF"/>
    <w:rsid w:val="EBDEAB5C"/>
    <w:rsid w:val="EBED1E99"/>
    <w:rsid w:val="EBFC79E5"/>
    <w:rsid w:val="EBFF9106"/>
    <w:rsid w:val="EC377011"/>
    <w:rsid w:val="ED71CC05"/>
    <w:rsid w:val="ED7B6B35"/>
    <w:rsid w:val="ED7EC75E"/>
    <w:rsid w:val="EDBD1C19"/>
    <w:rsid w:val="EDBF4FB9"/>
    <w:rsid w:val="EDFB3A67"/>
    <w:rsid w:val="EDFF2C79"/>
    <w:rsid w:val="EDFFF1E2"/>
    <w:rsid w:val="EE206FA9"/>
    <w:rsid w:val="EE7F91B5"/>
    <w:rsid w:val="EE9875FA"/>
    <w:rsid w:val="EED4C7BD"/>
    <w:rsid w:val="EEEA35D5"/>
    <w:rsid w:val="EEECF0C6"/>
    <w:rsid w:val="EEF72AE1"/>
    <w:rsid w:val="EEFF71C4"/>
    <w:rsid w:val="EEFFBAC1"/>
    <w:rsid w:val="EF135D66"/>
    <w:rsid w:val="EF3B721B"/>
    <w:rsid w:val="EF433F5D"/>
    <w:rsid w:val="EF5F0FAA"/>
    <w:rsid w:val="EF7A705E"/>
    <w:rsid w:val="EF7BB272"/>
    <w:rsid w:val="EF7BF435"/>
    <w:rsid w:val="EF7D98FE"/>
    <w:rsid w:val="EF87A7B8"/>
    <w:rsid w:val="EFACEFE0"/>
    <w:rsid w:val="EFAEF79D"/>
    <w:rsid w:val="EFBF9825"/>
    <w:rsid w:val="EFCF310F"/>
    <w:rsid w:val="EFD67053"/>
    <w:rsid w:val="EFDE1EA8"/>
    <w:rsid w:val="EFDFF4E8"/>
    <w:rsid w:val="EFE67BFA"/>
    <w:rsid w:val="EFF7B402"/>
    <w:rsid w:val="EFF8F4CA"/>
    <w:rsid w:val="EFFCA3A5"/>
    <w:rsid w:val="EFFD92BE"/>
    <w:rsid w:val="EFFE3DFE"/>
    <w:rsid w:val="EFFECC38"/>
    <w:rsid w:val="EFFEEA16"/>
    <w:rsid w:val="EFFF1ABD"/>
    <w:rsid w:val="EFFFDDA9"/>
    <w:rsid w:val="F04D7957"/>
    <w:rsid w:val="F10F41EC"/>
    <w:rsid w:val="F1B55EFE"/>
    <w:rsid w:val="F1FB1CBC"/>
    <w:rsid w:val="F1FD43AB"/>
    <w:rsid w:val="F2B9384F"/>
    <w:rsid w:val="F2DE178B"/>
    <w:rsid w:val="F2E888A6"/>
    <w:rsid w:val="F2EE70C7"/>
    <w:rsid w:val="F353249B"/>
    <w:rsid w:val="F37B2FA7"/>
    <w:rsid w:val="F3B8B669"/>
    <w:rsid w:val="F3D309DE"/>
    <w:rsid w:val="F3ED3F9B"/>
    <w:rsid w:val="F3FF61D2"/>
    <w:rsid w:val="F4B76CDC"/>
    <w:rsid w:val="F4D9CEE5"/>
    <w:rsid w:val="F4FF9737"/>
    <w:rsid w:val="F53FCD77"/>
    <w:rsid w:val="F55FE8EA"/>
    <w:rsid w:val="F57585AA"/>
    <w:rsid w:val="F5772259"/>
    <w:rsid w:val="F5D14843"/>
    <w:rsid w:val="F5EC1173"/>
    <w:rsid w:val="F5EF0AA3"/>
    <w:rsid w:val="F5F20B0C"/>
    <w:rsid w:val="F5F7E3F8"/>
    <w:rsid w:val="F5F8AFCC"/>
    <w:rsid w:val="F5FB18FE"/>
    <w:rsid w:val="F5FD3243"/>
    <w:rsid w:val="F67F30B0"/>
    <w:rsid w:val="F6ADB23B"/>
    <w:rsid w:val="F6B70C92"/>
    <w:rsid w:val="F6B7F56F"/>
    <w:rsid w:val="F6DE0307"/>
    <w:rsid w:val="F6EBD574"/>
    <w:rsid w:val="F6EE6269"/>
    <w:rsid w:val="F6FBC367"/>
    <w:rsid w:val="F713A6C9"/>
    <w:rsid w:val="F72E3296"/>
    <w:rsid w:val="F72F5703"/>
    <w:rsid w:val="F738802E"/>
    <w:rsid w:val="F73C72FB"/>
    <w:rsid w:val="F742D347"/>
    <w:rsid w:val="F75F01DC"/>
    <w:rsid w:val="F7768B07"/>
    <w:rsid w:val="F7790ADE"/>
    <w:rsid w:val="F77B9CFF"/>
    <w:rsid w:val="F77ECCAF"/>
    <w:rsid w:val="F77FDC00"/>
    <w:rsid w:val="F797CE84"/>
    <w:rsid w:val="F797FE01"/>
    <w:rsid w:val="F7B1F225"/>
    <w:rsid w:val="F7B78F68"/>
    <w:rsid w:val="F7B7F5C2"/>
    <w:rsid w:val="F7BE1187"/>
    <w:rsid w:val="F7BF0464"/>
    <w:rsid w:val="F7BF1EEC"/>
    <w:rsid w:val="F7BF9949"/>
    <w:rsid w:val="F7BFFB99"/>
    <w:rsid w:val="F7CFA72A"/>
    <w:rsid w:val="F7CFE33A"/>
    <w:rsid w:val="F7DBDDEA"/>
    <w:rsid w:val="F7DCAAC5"/>
    <w:rsid w:val="F7DF802E"/>
    <w:rsid w:val="F7EB7CFB"/>
    <w:rsid w:val="F7F39781"/>
    <w:rsid w:val="F7F3CABF"/>
    <w:rsid w:val="F7F3CC4D"/>
    <w:rsid w:val="F7F7C49F"/>
    <w:rsid w:val="F7FD3357"/>
    <w:rsid w:val="F7FFCAA4"/>
    <w:rsid w:val="F87E2F9A"/>
    <w:rsid w:val="F87EECD7"/>
    <w:rsid w:val="F8BA874D"/>
    <w:rsid w:val="F8FCFE7E"/>
    <w:rsid w:val="F9A90A45"/>
    <w:rsid w:val="F9AFA9ED"/>
    <w:rsid w:val="F9BF8062"/>
    <w:rsid w:val="F9E7B1D0"/>
    <w:rsid w:val="F9EE69F1"/>
    <w:rsid w:val="F9EF3B10"/>
    <w:rsid w:val="F9F55371"/>
    <w:rsid w:val="FA5DE069"/>
    <w:rsid w:val="FA6994EF"/>
    <w:rsid w:val="FA752CA0"/>
    <w:rsid w:val="FAB7BC8B"/>
    <w:rsid w:val="FABF3BA7"/>
    <w:rsid w:val="FADA32EA"/>
    <w:rsid w:val="FAE6BA79"/>
    <w:rsid w:val="FAEB75A4"/>
    <w:rsid w:val="FAEF9951"/>
    <w:rsid w:val="FAF2D5D5"/>
    <w:rsid w:val="FAF728E2"/>
    <w:rsid w:val="FAF7FE06"/>
    <w:rsid w:val="FAFD8467"/>
    <w:rsid w:val="FB35002F"/>
    <w:rsid w:val="FB6EF398"/>
    <w:rsid w:val="FB7BF131"/>
    <w:rsid w:val="FB7FDBC2"/>
    <w:rsid w:val="FB9743F9"/>
    <w:rsid w:val="FBAF320B"/>
    <w:rsid w:val="FBB752EF"/>
    <w:rsid w:val="FBBBEDE8"/>
    <w:rsid w:val="FBBDF250"/>
    <w:rsid w:val="FBBE38A8"/>
    <w:rsid w:val="FBBF42BD"/>
    <w:rsid w:val="FBCD1A03"/>
    <w:rsid w:val="FBD9E6E5"/>
    <w:rsid w:val="FBDC34E5"/>
    <w:rsid w:val="FBDE47E5"/>
    <w:rsid w:val="FBE43F94"/>
    <w:rsid w:val="FBE5959E"/>
    <w:rsid w:val="FBE9C693"/>
    <w:rsid w:val="FBEF748E"/>
    <w:rsid w:val="FBF301A2"/>
    <w:rsid w:val="FBF919F1"/>
    <w:rsid w:val="FBFB25A7"/>
    <w:rsid w:val="FBFC1C4D"/>
    <w:rsid w:val="FBFD8EB4"/>
    <w:rsid w:val="FBFDFAAA"/>
    <w:rsid w:val="FBFED68B"/>
    <w:rsid w:val="FBFF2BE1"/>
    <w:rsid w:val="FBFFB04D"/>
    <w:rsid w:val="FBFFF1ED"/>
    <w:rsid w:val="FC3EC2B7"/>
    <w:rsid w:val="FC7D8745"/>
    <w:rsid w:val="FCE32859"/>
    <w:rsid w:val="FCF7CDB0"/>
    <w:rsid w:val="FCFC35A8"/>
    <w:rsid w:val="FCFF9486"/>
    <w:rsid w:val="FCFFE4EB"/>
    <w:rsid w:val="FD5FB820"/>
    <w:rsid w:val="FD61FCF4"/>
    <w:rsid w:val="FD6F4118"/>
    <w:rsid w:val="FD767F74"/>
    <w:rsid w:val="FD7D6B75"/>
    <w:rsid w:val="FD7F0C20"/>
    <w:rsid w:val="FD855B06"/>
    <w:rsid w:val="FDBFC7A0"/>
    <w:rsid w:val="FDDC2AB6"/>
    <w:rsid w:val="FDDF04DD"/>
    <w:rsid w:val="FDE137A0"/>
    <w:rsid w:val="FDE39E56"/>
    <w:rsid w:val="FDE75F5D"/>
    <w:rsid w:val="FDE7C707"/>
    <w:rsid w:val="FDEFCC3B"/>
    <w:rsid w:val="FDF6AA1B"/>
    <w:rsid w:val="FDFB6FD8"/>
    <w:rsid w:val="FDFCB2E2"/>
    <w:rsid w:val="FDFE337E"/>
    <w:rsid w:val="FDFE7AEB"/>
    <w:rsid w:val="FDFF50D8"/>
    <w:rsid w:val="FDFFA48F"/>
    <w:rsid w:val="FDFFE9A4"/>
    <w:rsid w:val="FE2A2E80"/>
    <w:rsid w:val="FE365798"/>
    <w:rsid w:val="FE3D1142"/>
    <w:rsid w:val="FE56B86C"/>
    <w:rsid w:val="FE57EBF9"/>
    <w:rsid w:val="FE75E767"/>
    <w:rsid w:val="FE776532"/>
    <w:rsid w:val="FE7BCE51"/>
    <w:rsid w:val="FE7FE1AA"/>
    <w:rsid w:val="FEB771C5"/>
    <w:rsid w:val="FEBF17E0"/>
    <w:rsid w:val="FEBFF17B"/>
    <w:rsid w:val="FEC178F1"/>
    <w:rsid w:val="FED75A62"/>
    <w:rsid w:val="FED7981B"/>
    <w:rsid w:val="FED9398D"/>
    <w:rsid w:val="FEDDDD26"/>
    <w:rsid w:val="FEEB0CD5"/>
    <w:rsid w:val="FEEE905C"/>
    <w:rsid w:val="FEEF9396"/>
    <w:rsid w:val="FEF741E6"/>
    <w:rsid w:val="FEF74396"/>
    <w:rsid w:val="FEF87320"/>
    <w:rsid w:val="FEF99373"/>
    <w:rsid w:val="FEFA26B6"/>
    <w:rsid w:val="FEFE3FAB"/>
    <w:rsid w:val="FF2FAAF4"/>
    <w:rsid w:val="FF3B824D"/>
    <w:rsid w:val="FF3E07EC"/>
    <w:rsid w:val="FF571643"/>
    <w:rsid w:val="FF6A5426"/>
    <w:rsid w:val="FF6E2FE3"/>
    <w:rsid w:val="FF6F9106"/>
    <w:rsid w:val="FF7A4DCD"/>
    <w:rsid w:val="FF7D7D52"/>
    <w:rsid w:val="FF7F6819"/>
    <w:rsid w:val="FF7F978F"/>
    <w:rsid w:val="FF870273"/>
    <w:rsid w:val="FF8B4DDF"/>
    <w:rsid w:val="FF8D7681"/>
    <w:rsid w:val="FF978CD7"/>
    <w:rsid w:val="FF9A753C"/>
    <w:rsid w:val="FF9F8E57"/>
    <w:rsid w:val="FFA2C13E"/>
    <w:rsid w:val="FFA7C4C8"/>
    <w:rsid w:val="FFABC03D"/>
    <w:rsid w:val="FFAE0ADE"/>
    <w:rsid w:val="FFAEF141"/>
    <w:rsid w:val="FFAFCADA"/>
    <w:rsid w:val="FFB24C8B"/>
    <w:rsid w:val="FFB44DAC"/>
    <w:rsid w:val="FFBD6C25"/>
    <w:rsid w:val="FFBF661F"/>
    <w:rsid w:val="FFBF7801"/>
    <w:rsid w:val="FFC78CDB"/>
    <w:rsid w:val="FFD39104"/>
    <w:rsid w:val="FFD74DA4"/>
    <w:rsid w:val="FFD7E5CE"/>
    <w:rsid w:val="FFD7FCDF"/>
    <w:rsid w:val="FFDC60BB"/>
    <w:rsid w:val="FFDC612C"/>
    <w:rsid w:val="FFDEF9A1"/>
    <w:rsid w:val="FFDF9E65"/>
    <w:rsid w:val="FFDFA09C"/>
    <w:rsid w:val="FFDFCC5A"/>
    <w:rsid w:val="FFDFE7D9"/>
    <w:rsid w:val="FFE12D7E"/>
    <w:rsid w:val="FFE39CCB"/>
    <w:rsid w:val="FFE5101A"/>
    <w:rsid w:val="FFE7A60A"/>
    <w:rsid w:val="FFE9FC01"/>
    <w:rsid w:val="FFEAC779"/>
    <w:rsid w:val="FFEBD0E2"/>
    <w:rsid w:val="FFECEB56"/>
    <w:rsid w:val="FFED94C8"/>
    <w:rsid w:val="FFEDF0E3"/>
    <w:rsid w:val="FFEF3F3F"/>
    <w:rsid w:val="FFEF6FEA"/>
    <w:rsid w:val="FFEFD6A0"/>
    <w:rsid w:val="FFEFE123"/>
    <w:rsid w:val="FFEFE42B"/>
    <w:rsid w:val="FFF21A06"/>
    <w:rsid w:val="FFF27757"/>
    <w:rsid w:val="FFF32F51"/>
    <w:rsid w:val="FFF3A6B3"/>
    <w:rsid w:val="FFF3D827"/>
    <w:rsid w:val="FFF69F01"/>
    <w:rsid w:val="FFF717A3"/>
    <w:rsid w:val="FFF7626C"/>
    <w:rsid w:val="FFF9108E"/>
    <w:rsid w:val="FFFB2FCD"/>
    <w:rsid w:val="FFFC12C2"/>
    <w:rsid w:val="FFFD6AF8"/>
    <w:rsid w:val="FFFD8F67"/>
    <w:rsid w:val="FFFDB362"/>
    <w:rsid w:val="FFFE6D34"/>
    <w:rsid w:val="FFFEB5D4"/>
    <w:rsid w:val="FFFED0AC"/>
    <w:rsid w:val="FFFF011F"/>
    <w:rsid w:val="FFFF3183"/>
    <w:rsid w:val="FFFF4E2B"/>
    <w:rsid w:val="FFFF658A"/>
    <w:rsid w:val="FFFF6A9B"/>
    <w:rsid w:val="FFFF8E53"/>
    <w:rsid w:val="FFFF96F0"/>
    <w:rsid w:val="FFFF9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3" w:firstLineChars="200"/>
      <w:jc w:val="both"/>
    </w:pPr>
    <w:rPr>
      <w:rFonts w:eastAsia="仿宋" w:asciiTheme="minorHAnsi" w:hAnsiTheme="minorHAnsi" w:cstheme="minorBidi"/>
      <w:kern w:val="2"/>
      <w:sz w:val="32"/>
      <w:szCs w:val="22"/>
      <w:lang w:val="en-US" w:eastAsia="zh-CN" w:bidi="ar-SA"/>
    </w:rPr>
  </w:style>
  <w:style w:type="paragraph" w:styleId="2">
    <w:name w:val="heading 1"/>
    <w:basedOn w:val="1"/>
    <w:next w:val="1"/>
    <w:link w:val="44"/>
    <w:qFormat/>
    <w:uiPriority w:val="9"/>
    <w:pPr>
      <w:keepNext/>
      <w:keepLines/>
      <w:spacing w:before="120" w:after="120" w:line="480" w:lineRule="auto"/>
      <w:outlineLvl w:val="0"/>
    </w:pPr>
    <w:rPr>
      <w:rFonts w:ascii="黑体" w:hAnsi="黑体" w:eastAsia="黑体"/>
      <w:color w:val="000000"/>
      <w:szCs w:val="32"/>
      <w:lang w:val="en-GB"/>
    </w:rPr>
  </w:style>
  <w:style w:type="paragraph" w:styleId="3">
    <w:name w:val="heading 2"/>
    <w:basedOn w:val="4"/>
    <w:next w:val="1"/>
    <w:link w:val="34"/>
    <w:unhideWhenUsed/>
    <w:qFormat/>
    <w:uiPriority w:val="9"/>
    <w:pPr>
      <w:widowControl/>
      <w:numPr>
        <w:ilvl w:val="0"/>
        <w:numId w:val="1"/>
      </w:numPr>
      <w:adjustRightInd w:val="0"/>
      <w:ind w:left="0" w:firstLine="883"/>
      <w:contextualSpacing/>
      <w:outlineLvl w:val="1"/>
    </w:pPr>
    <w:rPr>
      <w:rFonts w:ascii="仿宋" w:hAnsi="仿宋" w:eastAsia="仿宋_GB2312" w:cs="MS Mincho"/>
      <w:b/>
      <w:szCs w:val="32"/>
    </w:rPr>
  </w:style>
  <w:style w:type="paragraph" w:styleId="5">
    <w:name w:val="heading 3"/>
    <w:basedOn w:val="4"/>
    <w:next w:val="1"/>
    <w:link w:val="35"/>
    <w:unhideWhenUsed/>
    <w:qFormat/>
    <w:uiPriority w:val="9"/>
    <w:pPr>
      <w:widowControl/>
      <w:numPr>
        <w:ilvl w:val="0"/>
        <w:numId w:val="2"/>
      </w:numPr>
      <w:adjustRightInd w:val="0"/>
      <w:ind w:firstLine="0" w:firstLineChars="0"/>
      <w:contextualSpacing/>
      <w:outlineLvl w:val="2"/>
    </w:pPr>
    <w:rPr>
      <w:rFonts w:ascii="仿宋" w:hAnsi="仿宋" w:eastAsia="仿宋_GB2312" w:cs="Arial"/>
      <w:szCs w:val="32"/>
    </w:rPr>
  </w:style>
  <w:style w:type="paragraph" w:styleId="6">
    <w:name w:val="heading 4"/>
    <w:basedOn w:val="4"/>
    <w:next w:val="1"/>
    <w:link w:val="36"/>
    <w:unhideWhenUsed/>
    <w:qFormat/>
    <w:uiPriority w:val="9"/>
    <w:pPr>
      <w:widowControl/>
      <w:numPr>
        <w:ilvl w:val="0"/>
        <w:numId w:val="3"/>
      </w:numPr>
      <w:tabs>
        <w:tab w:val="left" w:pos="480"/>
        <w:tab w:val="left" w:pos="2429"/>
      </w:tabs>
      <w:adjustRightInd w:val="0"/>
      <w:ind w:firstLine="0" w:firstLineChars="0"/>
      <w:contextualSpacing/>
      <w:outlineLvl w:val="3"/>
    </w:pPr>
    <w:rPr>
      <w:rFonts w:ascii="仿宋_GB2312" w:hAnsi="仿宋" w:eastAsia="仿宋_GB2312" w:cs="Arial"/>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pPr>
  </w:style>
  <w:style w:type="paragraph" w:styleId="7">
    <w:name w:val="Document Map"/>
    <w:basedOn w:val="1"/>
    <w:link w:val="38"/>
    <w:semiHidden/>
    <w:unhideWhenUsed/>
    <w:qFormat/>
    <w:uiPriority w:val="99"/>
    <w:pPr>
      <w:widowControl/>
      <w:ind w:firstLine="200"/>
    </w:pPr>
    <w:rPr>
      <w:rFonts w:ascii="宋体" w:hAnsi="宋体" w:eastAsia="仿宋_GB2312" w:cs="宋体"/>
      <w:sz w:val="18"/>
      <w:szCs w:val="18"/>
    </w:rPr>
  </w:style>
  <w:style w:type="paragraph" w:styleId="8">
    <w:name w:val="annotation text"/>
    <w:basedOn w:val="1"/>
    <w:link w:val="30"/>
    <w:unhideWhenUsed/>
    <w:qFormat/>
    <w:uiPriority w:val="99"/>
    <w:pPr>
      <w:jc w:val="left"/>
    </w:pPr>
  </w:style>
  <w:style w:type="paragraph" w:styleId="9">
    <w:name w:val="Body Text"/>
    <w:basedOn w:val="1"/>
    <w:qFormat/>
    <w:uiPriority w:val="1"/>
    <w:pPr>
      <w:autoSpaceDE w:val="0"/>
      <w:autoSpaceDN w:val="0"/>
      <w:ind w:left="138"/>
      <w:jc w:val="left"/>
    </w:pPr>
    <w:rPr>
      <w:rFonts w:ascii="宋体" w:hAnsi="宋体" w:cs="宋体"/>
      <w:kern w:val="0"/>
      <w:szCs w:val="32"/>
      <w:lang w:val="zh-CN" w:bidi="zh-CN"/>
    </w:rPr>
  </w:style>
  <w:style w:type="paragraph" w:styleId="10">
    <w:name w:val="Date"/>
    <w:basedOn w:val="1"/>
    <w:next w:val="1"/>
    <w:link w:val="54"/>
    <w:semiHidden/>
    <w:unhideWhenUsed/>
    <w:qFormat/>
    <w:uiPriority w:val="99"/>
    <w:pPr>
      <w:ind w:left="100" w:leftChars="2500"/>
    </w:pPr>
  </w:style>
  <w:style w:type="paragraph" w:styleId="11">
    <w:name w:val="Balloon Text"/>
    <w:basedOn w:val="1"/>
    <w:link w:val="40"/>
    <w:semiHidden/>
    <w:unhideWhenUsed/>
    <w:qFormat/>
    <w:uiPriority w:val="99"/>
    <w:pPr>
      <w:widowControl/>
      <w:ind w:firstLine="200"/>
    </w:pPr>
    <w:rPr>
      <w:rFonts w:ascii="Tahoma" w:hAnsi="Tahoma" w:eastAsia="仿宋_GB2312" w:cs="Tahoma"/>
      <w:sz w:val="16"/>
      <w:szCs w:val="16"/>
    </w:rPr>
  </w:style>
  <w:style w:type="paragraph" w:styleId="12">
    <w:name w:val="footer"/>
    <w:basedOn w:val="1"/>
    <w:link w:val="26"/>
    <w:unhideWhenUsed/>
    <w:qFormat/>
    <w:uiPriority w:val="99"/>
    <w:pPr>
      <w:tabs>
        <w:tab w:val="center" w:pos="4153"/>
        <w:tab w:val="right" w:pos="8306"/>
      </w:tabs>
      <w:snapToGrid w:val="0"/>
      <w:jc w:val="left"/>
    </w:pPr>
    <w:rPr>
      <w:sz w:val="18"/>
      <w:szCs w:val="18"/>
    </w:rPr>
  </w:style>
  <w:style w:type="paragraph" w:styleId="13">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footnote text"/>
    <w:basedOn w:val="1"/>
    <w:link w:val="41"/>
    <w:unhideWhenUsed/>
    <w:qFormat/>
    <w:uiPriority w:val="99"/>
    <w:pPr>
      <w:widowControl/>
      <w:snapToGrid w:val="0"/>
      <w:ind w:firstLine="200"/>
    </w:pPr>
    <w:rPr>
      <w:rFonts w:ascii="宋体" w:hAnsi="宋体" w:eastAsia="仿宋_GB2312" w:cs="宋体"/>
      <w:sz w:val="18"/>
      <w:szCs w:val="18"/>
    </w:rPr>
  </w:style>
  <w:style w:type="paragraph" w:styleId="15">
    <w:name w:val="HTML Preformatted"/>
    <w:basedOn w:val="1"/>
    <w:link w:val="4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6">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0"/>
      <w:sz w:val="24"/>
      <w:szCs w:val="24"/>
      <w:lang w:val="en-US" w:eastAsia="zh-CN" w:bidi="ar"/>
    </w:rPr>
  </w:style>
  <w:style w:type="paragraph" w:styleId="17">
    <w:name w:val="annotation subject"/>
    <w:basedOn w:val="8"/>
    <w:next w:val="8"/>
    <w:link w:val="31"/>
    <w:semiHidden/>
    <w:unhideWhenUsed/>
    <w:qFormat/>
    <w:uiPriority w:val="99"/>
    <w:rPr>
      <w:b/>
      <w:bCs/>
    </w:rPr>
  </w:style>
  <w:style w:type="table" w:styleId="19">
    <w:name w:val="Table Grid"/>
    <w:basedOn w:val="18"/>
    <w:qFormat/>
    <w:uiPriority w:val="59"/>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1">
    <w:name w:val="Emphasis"/>
    <w:basedOn w:val="20"/>
    <w:qFormat/>
    <w:uiPriority w:val="20"/>
    <w:rPr>
      <w:i/>
      <w:iCs/>
    </w:rPr>
  </w:style>
  <w:style w:type="character" w:styleId="22">
    <w:name w:val="Hyperlink"/>
    <w:basedOn w:val="20"/>
    <w:unhideWhenUsed/>
    <w:qFormat/>
    <w:uiPriority w:val="99"/>
    <w:rPr>
      <w:color w:val="0563C1"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character" w:styleId="24">
    <w:name w:val="footnote reference"/>
    <w:basedOn w:val="20"/>
    <w:unhideWhenUsed/>
    <w:qFormat/>
    <w:uiPriority w:val="99"/>
    <w:rPr>
      <w:vertAlign w:val="superscript"/>
    </w:rPr>
  </w:style>
  <w:style w:type="character" w:customStyle="1" w:styleId="25">
    <w:name w:val="页眉 字符"/>
    <w:basedOn w:val="20"/>
    <w:link w:val="13"/>
    <w:qFormat/>
    <w:uiPriority w:val="99"/>
    <w:rPr>
      <w:sz w:val="18"/>
      <w:szCs w:val="18"/>
    </w:rPr>
  </w:style>
  <w:style w:type="character" w:customStyle="1" w:styleId="26">
    <w:name w:val="页脚 字符"/>
    <w:basedOn w:val="20"/>
    <w:link w:val="12"/>
    <w:qFormat/>
    <w:uiPriority w:val="99"/>
    <w:rPr>
      <w:sz w:val="18"/>
      <w:szCs w:val="18"/>
    </w:rPr>
  </w:style>
  <w:style w:type="paragraph" w:customStyle="1" w:styleId="27">
    <w:name w:val="18"/>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
    <w:name w:val="1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0">
    <w:name w:val="批注文字 字符"/>
    <w:basedOn w:val="20"/>
    <w:link w:val="8"/>
    <w:qFormat/>
    <w:uiPriority w:val="99"/>
  </w:style>
  <w:style w:type="character" w:customStyle="1" w:styleId="31">
    <w:name w:val="批注主题 字符"/>
    <w:basedOn w:val="30"/>
    <w:link w:val="17"/>
    <w:semiHidden/>
    <w:qFormat/>
    <w:uiPriority w:val="99"/>
    <w:rPr>
      <w:b/>
      <w:bCs/>
    </w:rPr>
  </w:style>
  <w:style w:type="character" w:customStyle="1" w:styleId="32">
    <w:name w:val="Unresolved Mention"/>
    <w:basedOn w:val="20"/>
    <w:semiHidden/>
    <w:unhideWhenUsed/>
    <w:qFormat/>
    <w:uiPriority w:val="99"/>
    <w:rPr>
      <w:color w:val="605E5C"/>
      <w:shd w:val="clear" w:color="auto" w:fill="E1DFDD"/>
    </w:rPr>
  </w:style>
  <w:style w:type="paragraph" w:customStyle="1" w:styleId="33">
    <w:name w:val="Heading 11"/>
    <w:basedOn w:val="4"/>
    <w:next w:val="1"/>
    <w:qFormat/>
    <w:uiPriority w:val="9"/>
    <w:pPr>
      <w:widowControl/>
      <w:numPr>
        <w:ilvl w:val="0"/>
        <w:numId w:val="4"/>
      </w:numPr>
      <w:adjustRightInd w:val="0"/>
      <w:ind w:left="0" w:firstLine="200"/>
      <w:contextualSpacing/>
      <w:outlineLvl w:val="0"/>
    </w:pPr>
    <w:rPr>
      <w:rFonts w:ascii="黑体" w:hAnsi="黑体" w:eastAsia="黑体"/>
      <w:color w:val="000000"/>
      <w:szCs w:val="32"/>
      <w:lang w:val="en-GB"/>
    </w:rPr>
  </w:style>
  <w:style w:type="character" w:customStyle="1" w:styleId="34">
    <w:name w:val="标题 2 字符"/>
    <w:basedOn w:val="20"/>
    <w:link w:val="3"/>
    <w:qFormat/>
    <w:uiPriority w:val="9"/>
    <w:rPr>
      <w:rFonts w:ascii="仿宋" w:hAnsi="仿宋" w:eastAsia="仿宋_GB2312" w:cs="MS Mincho"/>
      <w:b/>
      <w:sz w:val="32"/>
      <w:szCs w:val="32"/>
    </w:rPr>
  </w:style>
  <w:style w:type="character" w:customStyle="1" w:styleId="35">
    <w:name w:val="标题 3 字符"/>
    <w:basedOn w:val="20"/>
    <w:link w:val="5"/>
    <w:qFormat/>
    <w:uiPriority w:val="9"/>
    <w:rPr>
      <w:rFonts w:ascii="仿宋" w:hAnsi="仿宋" w:eastAsia="仿宋_GB2312" w:cs="Arial"/>
      <w:sz w:val="32"/>
      <w:szCs w:val="32"/>
    </w:rPr>
  </w:style>
  <w:style w:type="character" w:customStyle="1" w:styleId="36">
    <w:name w:val="标题 4 字符"/>
    <w:basedOn w:val="20"/>
    <w:link w:val="6"/>
    <w:qFormat/>
    <w:uiPriority w:val="9"/>
    <w:rPr>
      <w:rFonts w:ascii="仿宋_GB2312" w:hAnsi="仿宋" w:eastAsia="仿宋_GB2312" w:cs="Arial"/>
      <w:sz w:val="32"/>
      <w:szCs w:val="32"/>
    </w:rPr>
  </w:style>
  <w:style w:type="paragraph" w:customStyle="1" w:styleId="37">
    <w:name w:val="List Paragraph1"/>
    <w:basedOn w:val="1"/>
    <w:next w:val="4"/>
    <w:qFormat/>
    <w:uiPriority w:val="34"/>
    <w:pPr>
      <w:widowControl/>
      <w:spacing w:after="200" w:line="276" w:lineRule="auto"/>
      <w:ind w:left="720" w:firstLine="200"/>
      <w:contextualSpacing/>
    </w:pPr>
    <w:rPr>
      <w:sz w:val="22"/>
    </w:rPr>
  </w:style>
  <w:style w:type="character" w:customStyle="1" w:styleId="38">
    <w:name w:val="文档结构图 字符"/>
    <w:basedOn w:val="20"/>
    <w:link w:val="7"/>
    <w:semiHidden/>
    <w:qFormat/>
    <w:uiPriority w:val="99"/>
    <w:rPr>
      <w:rFonts w:ascii="宋体" w:hAnsi="宋体" w:eastAsia="仿宋_GB2312" w:cs="宋体"/>
      <w:sz w:val="18"/>
      <w:szCs w:val="18"/>
    </w:rPr>
  </w:style>
  <w:style w:type="paragraph" w:customStyle="1" w:styleId="39">
    <w:name w:val="Date1"/>
    <w:basedOn w:val="1"/>
    <w:next w:val="1"/>
    <w:semiHidden/>
    <w:unhideWhenUsed/>
    <w:qFormat/>
    <w:uiPriority w:val="99"/>
    <w:pPr>
      <w:ind w:left="100" w:leftChars="2500"/>
    </w:pPr>
  </w:style>
  <w:style w:type="character" w:customStyle="1" w:styleId="40">
    <w:name w:val="批注框文本 字符"/>
    <w:basedOn w:val="20"/>
    <w:link w:val="11"/>
    <w:semiHidden/>
    <w:qFormat/>
    <w:uiPriority w:val="99"/>
    <w:rPr>
      <w:rFonts w:ascii="Tahoma" w:hAnsi="Tahoma" w:eastAsia="仿宋_GB2312" w:cs="Tahoma"/>
      <w:sz w:val="16"/>
      <w:szCs w:val="16"/>
    </w:rPr>
  </w:style>
  <w:style w:type="character" w:customStyle="1" w:styleId="41">
    <w:name w:val="脚注文本 字符"/>
    <w:basedOn w:val="20"/>
    <w:link w:val="14"/>
    <w:qFormat/>
    <w:uiPriority w:val="99"/>
    <w:rPr>
      <w:rFonts w:ascii="宋体" w:hAnsi="宋体" w:eastAsia="仿宋_GB2312" w:cs="宋体"/>
      <w:sz w:val="18"/>
      <w:szCs w:val="18"/>
    </w:rPr>
  </w:style>
  <w:style w:type="paragraph" w:customStyle="1" w:styleId="42">
    <w:name w:val="TOC 21"/>
    <w:basedOn w:val="1"/>
    <w:next w:val="1"/>
    <w:unhideWhenUsed/>
    <w:qFormat/>
    <w:uiPriority w:val="39"/>
    <w:pPr>
      <w:widowControl/>
      <w:spacing w:after="100" w:line="276" w:lineRule="auto"/>
      <w:ind w:left="220" w:firstLine="200"/>
    </w:pPr>
    <w:rPr>
      <w:sz w:val="22"/>
    </w:rPr>
  </w:style>
  <w:style w:type="character" w:customStyle="1" w:styleId="43">
    <w:name w:val="HTML 预设格式 字符"/>
    <w:basedOn w:val="20"/>
    <w:link w:val="15"/>
    <w:qFormat/>
    <w:uiPriority w:val="99"/>
    <w:rPr>
      <w:rFonts w:ascii="宋体" w:hAnsi="宋体" w:eastAsia="宋体" w:cs="宋体"/>
      <w:kern w:val="0"/>
      <w:sz w:val="24"/>
      <w:szCs w:val="24"/>
    </w:rPr>
  </w:style>
  <w:style w:type="character" w:customStyle="1" w:styleId="44">
    <w:name w:val="标题 1 字符"/>
    <w:basedOn w:val="20"/>
    <w:link w:val="2"/>
    <w:qFormat/>
    <w:uiPriority w:val="9"/>
    <w:rPr>
      <w:rFonts w:ascii="黑体" w:hAnsi="黑体" w:eastAsia="黑体"/>
      <w:color w:val="000000"/>
      <w:sz w:val="32"/>
      <w:szCs w:val="32"/>
      <w:lang w:val="en-GB"/>
    </w:rPr>
  </w:style>
  <w:style w:type="paragraph" w:customStyle="1" w:styleId="45">
    <w:name w:val="第一条"/>
    <w:basedOn w:val="1"/>
    <w:link w:val="46"/>
    <w:qFormat/>
    <w:uiPriority w:val="0"/>
    <w:pPr>
      <w:widowControl/>
      <w:adjustRightInd w:val="0"/>
      <w:jc w:val="center"/>
    </w:pPr>
    <w:rPr>
      <w:rFonts w:ascii="宋体" w:hAnsi="宋体" w:eastAsia="宋体" w:cs="MS Mincho"/>
      <w:b/>
      <w:sz w:val="44"/>
      <w:szCs w:val="36"/>
    </w:rPr>
  </w:style>
  <w:style w:type="character" w:customStyle="1" w:styleId="46">
    <w:name w:val="第一条 Char"/>
    <w:basedOn w:val="20"/>
    <w:link w:val="45"/>
    <w:qFormat/>
    <w:uiPriority w:val="0"/>
    <w:rPr>
      <w:rFonts w:ascii="宋体" w:hAnsi="宋体" w:eastAsia="宋体" w:cs="MS Mincho"/>
      <w:b/>
      <w:sz w:val="44"/>
      <w:szCs w:val="36"/>
    </w:rPr>
  </w:style>
  <w:style w:type="paragraph" w:customStyle="1" w:styleId="47">
    <w:name w:val="Default"/>
    <w:qFormat/>
    <w:uiPriority w:val="0"/>
    <w:pPr>
      <w:autoSpaceDE w:val="0"/>
      <w:autoSpaceDN w:val="0"/>
      <w:adjustRightInd w:val="0"/>
      <w:ind w:firstLine="200" w:firstLineChars="200"/>
      <w:jc w:val="both"/>
    </w:pPr>
    <w:rPr>
      <w:rFonts w:ascii="宋体" w:eastAsia="宋体" w:cs="宋体" w:hAnsiTheme="minorHAnsi"/>
      <w:color w:val="000000"/>
      <w:kern w:val="2"/>
      <w:sz w:val="24"/>
      <w:szCs w:val="24"/>
      <w:lang w:val="en-GB" w:eastAsia="zh-CN" w:bidi="ar-SA"/>
    </w:rPr>
  </w:style>
  <w:style w:type="paragraph" w:customStyle="1" w:styleId="48">
    <w:name w:val="修订11"/>
    <w:hidden/>
    <w:semiHidden/>
    <w:qFormat/>
    <w:uiPriority w:val="99"/>
    <w:pPr>
      <w:ind w:firstLine="200" w:firstLineChars="200"/>
      <w:jc w:val="both"/>
    </w:pPr>
    <w:rPr>
      <w:rFonts w:asciiTheme="minorHAnsi" w:hAnsiTheme="minorHAnsi" w:eastAsiaTheme="minorEastAsia" w:cstheme="minorBidi"/>
      <w:kern w:val="2"/>
      <w:sz w:val="22"/>
      <w:szCs w:val="22"/>
      <w:lang w:val="en-US" w:eastAsia="zh-CN" w:bidi="ar-SA"/>
    </w:rPr>
  </w:style>
  <w:style w:type="paragraph" w:customStyle="1" w:styleId="49">
    <w:name w:val="TOC 标题1"/>
    <w:basedOn w:val="2"/>
    <w:next w:val="1"/>
    <w:unhideWhenUsed/>
    <w:qFormat/>
    <w:uiPriority w:val="39"/>
  </w:style>
  <w:style w:type="paragraph" w:customStyle="1" w:styleId="50">
    <w:name w:val="No Spacing1"/>
    <w:next w:val="51"/>
    <w:qFormat/>
    <w:uiPriority w:val="1"/>
    <w:pPr>
      <w:ind w:firstLine="200" w:firstLineChars="200"/>
      <w:jc w:val="both"/>
    </w:pPr>
    <w:rPr>
      <w:rFonts w:asciiTheme="minorHAnsi" w:hAnsiTheme="minorHAnsi" w:eastAsiaTheme="minorEastAsia" w:cstheme="minorBidi"/>
      <w:kern w:val="2"/>
      <w:sz w:val="22"/>
      <w:szCs w:val="22"/>
      <w:lang w:val="en-US" w:eastAsia="zh-CN" w:bidi="ar-SA"/>
    </w:rPr>
  </w:style>
  <w:style w:type="paragraph" w:styleId="51">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styleId="52">
    <w:name w:val="Placeholder Text"/>
    <w:basedOn w:val="20"/>
    <w:semiHidden/>
    <w:qFormat/>
    <w:uiPriority w:val="99"/>
    <w:rPr>
      <w:color w:val="808080"/>
    </w:rPr>
  </w:style>
  <w:style w:type="paragraph" w:customStyle="1" w:styleId="53">
    <w:name w:val="列出段落1"/>
    <w:basedOn w:val="1"/>
    <w:qFormat/>
    <w:uiPriority w:val="34"/>
    <w:pPr>
      <w:ind w:firstLine="420"/>
    </w:pPr>
    <w:rPr>
      <w:rFonts w:ascii="Calibri" w:hAnsi="Calibri" w:eastAsia="宋体" w:cs="黑体"/>
    </w:rPr>
  </w:style>
  <w:style w:type="character" w:customStyle="1" w:styleId="54">
    <w:name w:val="日期 字符"/>
    <w:basedOn w:val="20"/>
    <w:link w:val="10"/>
    <w:semiHidden/>
    <w:qFormat/>
    <w:uiPriority w:val="99"/>
    <w:rPr>
      <w:sz w:val="21"/>
    </w:rPr>
  </w:style>
  <w:style w:type="character" w:customStyle="1" w:styleId="55">
    <w:name w:val="text_ubpf5"/>
    <w:basedOn w:val="20"/>
    <w:qFormat/>
    <w:uiPriority w:val="0"/>
  </w:style>
  <w:style w:type="character" w:customStyle="1" w:styleId="56">
    <w:name w:val="text-only"/>
    <w:basedOn w:val="20"/>
    <w:qFormat/>
    <w:uiPriority w:val="0"/>
  </w:style>
  <w:style w:type="paragraph" w:customStyle="1" w:styleId="57">
    <w:name w:val="Revision1"/>
    <w:hidden/>
    <w:semiHidden/>
    <w:qFormat/>
    <w:uiPriority w:val="99"/>
    <w:rPr>
      <w:rFonts w:ascii="宋体" w:hAnsi="宋体" w:eastAsia="仿宋_GB2312" w:cs="宋体"/>
      <w:kern w:val="2"/>
      <w:sz w:val="24"/>
      <w:szCs w:val="24"/>
      <w:lang w:val="en-US" w:eastAsia="zh-CN" w:bidi="ar-SA"/>
    </w:rPr>
  </w:style>
  <w:style w:type="paragraph" w:customStyle="1" w:styleId="58">
    <w:name w:val="修订2"/>
    <w:hidden/>
    <w:unhideWhenUsed/>
    <w:qFormat/>
    <w:uiPriority w:val="99"/>
    <w:rPr>
      <w:rFonts w:ascii="宋体" w:hAnsi="宋体" w:eastAsia="仿宋_GB2312" w:cs="宋体"/>
      <w:kern w:val="2"/>
      <w:sz w:val="24"/>
      <w:szCs w:val="24"/>
      <w:lang w:val="en-US" w:eastAsia="zh-CN" w:bidi="ar-SA"/>
    </w:rPr>
  </w:style>
  <w:style w:type="character" w:customStyle="1" w:styleId="59">
    <w:name w:val="Heading 1 Char1"/>
    <w:basedOn w:val="20"/>
    <w:qFormat/>
    <w:uiPriority w:val="9"/>
    <w:rPr>
      <w:b/>
      <w:bCs/>
      <w:kern w:val="44"/>
      <w:sz w:val="44"/>
      <w:szCs w:val="44"/>
    </w:rPr>
  </w:style>
  <w:style w:type="character" w:customStyle="1" w:styleId="60">
    <w:name w:val="Date Char1"/>
    <w:basedOn w:val="20"/>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7075</Words>
  <Characters>7106</Characters>
  <Lines>96</Lines>
  <Paragraphs>27</Paragraphs>
  <TotalTime>47</TotalTime>
  <ScaleCrop>false</ScaleCrop>
  <LinksUpToDate>false</LinksUpToDate>
  <CharactersWithSpaces>7161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2025-06-14T13:03:00Z</dcterms:created>
  <dc:creator>Xiongying</dc:creator>
  <cp:lastModifiedBy>cbirc</cp:lastModifiedBy>
  <cp:lastPrinted>2025-12-05T14:31:00Z</cp:lastPrinted>
  <dcterms:modified xsi:type="dcterms:W3CDTF">2025-12-19T09:59:54Z</dcterms:modified>
  <dc:title>附件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0x01010093514BAAE72ECC4D87E982FEB5A75397</vt:lpwstr>
  </property>
  <property fmtid="{D5CDD505-2E9C-101B-9397-08002B2CF9AE}" pid="3" name="KSOProductBuildVer">
    <vt:lpwstr>2052-11.8.2.8506</vt:lpwstr>
  </property>
  <property fmtid="{D5CDD505-2E9C-101B-9397-08002B2CF9AE}" pid="4" name="ICV">
    <vt:lpwstr>6B026E2F1DDB73BB01A63269DB301E15</vt:lpwstr>
  </property>
  <property fmtid="{D5CDD505-2E9C-101B-9397-08002B2CF9AE}" pid="5" name="KSOTemplateDocerSaveRecord">
    <vt:lpwstr>eyJoZGlkIjoiMzEwNTM5NzYwMDRjMzkwZTVkZjY2ODkwMGIxNGU0OTUiLCJ1c2VySWQiOiIxNDczNDI4MjAxIn0=</vt:lpwstr>
  </property>
  <property fmtid="{D5CDD505-2E9C-101B-9397-08002B2CF9AE}" pid="6" name="fileWhereFroms">
    <vt:lpwstr>PpjeLB1gRN0lwrPqMaCTkly+mKhp8NfJyI9BgoFEf28RRKUNNiBG/sA54JDU1AC1xsMO505KwaRL3ElcA44bDe183ZlrDh0dtDk2tLQE9baL1Kex5PfDuKQOg5o6epUR2tblViwOSQVpD3/OtNx1pmk2Tfo4SPWKkgwFgG5CWmrZY9t39bwqmwFbknkviOWRYZrmA6+TR/BC+YhI5NAPA3XjSrCDIMrnnzAXgPo8qh4=</vt:lpwstr>
  </property>
</Properties>
</file>