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附件2：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会计师事务所财务报表及审核公式</w:t>
      </w:r>
    </w:p>
    <w:tbl>
      <w:tblPr>
        <w:tblStyle w:val="1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2"/>
        <w:gridCol w:w="3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年度行业会计报表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tcBorders>
              <w:top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事务所类型</w:t>
            </w:r>
          </w:p>
        </w:tc>
        <w:tc>
          <w:tcPr>
            <w:tcW w:w="1688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事务所名称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财务负责人电子邮箱地址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所在地市（区、县）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制表人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出具审计报告机构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审计报告编号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审计意见类型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出具审计报告的两个注师姓名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是否参加中注协前百家信息发布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是否报备从事证券服务业务（截至20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年12月31日）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auto" w:fill="A4A4A4" w:themeFill="background1" w:themeFillShade="A5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所属地市级注册会计师协会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本年度是否发生合并或分立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报送日期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r>
        <w:br w:type="page"/>
      </w:r>
    </w:p>
    <w:tbl>
      <w:tblPr>
        <w:tblStyle w:val="1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4"/>
        <w:gridCol w:w="576"/>
        <w:gridCol w:w="936"/>
        <w:gridCol w:w="1922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单位执行会计制度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单位纳税人类型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新报因素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上年情况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本年12月31日情况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一、从业人员总人数（含注册会计师和合伙人）*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1.合伙人（或）出资人人数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2．注册会计师人数(不含合伙人或出资人人数)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3．其他人员人数**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其中：从事审计等鉴证业务人员人数***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二、取得其他资格人数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1．税务师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2．评估师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其中：资产评估师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房地产估价师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土地估价师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其他评估师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3．造价工程师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4．法律职业资格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5．其他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三、国际网络名称（如有）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四、在港澳台及境外设立的分支机构（如有，单位：个）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五、客户数量（单位：个）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1.财务报表审计户数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2.专项审计户数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3.内部控制审计户数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4.验资户数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5.资产评估户数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6.涉税鉴证户数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7.工程预决算审核户数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8.其他鉴证业务户数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9.会计服务户数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10.税务服务户数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11.咨询服务户数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12.其他业务户数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六、信息化建设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1.信息技术人员数量****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1.1  事务所中具有信息系统审计师（CISA）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1.2  IT 审计师（ITA）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1.3  中国信息安全专业认证(CISP）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1.4  信息系统安全专业认证（CISSP）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1.5  思科网络专家(CCIE）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1.6  软件工程造价师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2.所内使用的审计作业软件名称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3.所内使用的管理软件工具名称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4.使用审计软件的审计项目占比（使用审计软件的审       计项目/全部审计项目）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七、国际化人才建设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1.主要从事国际业务的员工人数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2.取得境外资质的注册会计师人数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八、当年招收应届毕业生人数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**指截至12月31日的其他人员数量总数，由从事审计等鉴证业务人员和不从事审计等鉴证等业务人员构成。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***指在事务所从事鉴证业务的员工数，不含注册会计师和合伙人。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0"/>
        <w:spacing w:line="240" w:lineRule="exact"/>
        <w:ind w:firstLine="640"/>
      </w:pPr>
    </w:p>
    <w:p>
      <w:r>
        <w:br w:type="page"/>
      </w: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526"/>
        <w:gridCol w:w="837"/>
        <w:gridCol w:w="837"/>
        <w:gridCol w:w="2698"/>
        <w:gridCol w:w="526"/>
        <w:gridCol w:w="837"/>
        <w:gridCol w:w="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资产负债表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0" w:type="auto"/>
            <w:gridSpan w:val="2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会所02表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0" w:type="auto"/>
            <w:gridSpan w:val="2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     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长期股权投资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投资性房地产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0"/>
        <w:gridCol w:w="1001"/>
        <w:gridCol w:w="2098"/>
        <w:gridCol w:w="2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利润表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35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35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上期金额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一、营业收入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减：业务成本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税金及附加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销售费用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管理费用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研发费用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财务费用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其中：利息费用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      利息收入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资产减值损失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加：其他收益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投资收益（损失以“”号填列）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其中：对联营企业和合营企业的投资收益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公允价值变动收益（损失以“-”号填列）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资产处置收益（损失以“-”号填列）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二、营业利润（亏损以"－"号填列）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加：营业外收入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减：营业外支出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r>
              <w:rPr>
                <w:rFonts w:hint="eastAsia"/>
              </w:rPr>
              <w:t xml:space="preserve">       其中，公益性捐赠支出*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三、利润总额（亏损以"-"号填列）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减：所得税费用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四、净利润（亏损以"-"号填列）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(一）持续经营净利润（净亏损以“-”号填列）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(二）终止经营净利润（净亏损以“-”号填列）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五、其他综合收益的税后净额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(一）不能重分类进损益的其他综合收益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1.重新计量设定受益计划变动额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2.权益法下不能转损益的其他综合收益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(二）将重分类进损益的其他综合收益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1.权益法下可转损益的其他综合收益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2.可供出售金融资产公允价值变动损益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3.持有至到期投资重分类为可供出售金融资产损益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4.现金流量套期损益的有效部分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5.外币财务报表折算差额 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六、综合收益总额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七、每股收益：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(一）基本每股收益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(二）稀释每股收益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备注：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*指事务所用于符合法律规定的公益慈善事业捐赠支出总额，如抗疫救灾、抢险救灾、扶贫助困等。</w:t>
      </w:r>
    </w:p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817"/>
        <w:gridCol w:w="1175"/>
        <w:gridCol w:w="1175"/>
        <w:gridCol w:w="818"/>
        <w:gridCol w:w="1175"/>
        <w:gridCol w:w="1175"/>
        <w:gridCol w:w="818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153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153" w:type="dxa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17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pStyle w:val="50"/>
        <w:ind w:firstLine="640"/>
      </w:pPr>
    </w:p>
    <w:p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37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1542"/>
        <w:gridCol w:w="1542"/>
        <w:gridCol w:w="4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8"/>
        <w:gridCol w:w="1714"/>
        <w:gridCol w:w="2505"/>
        <w:gridCol w:w="5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主营业务成本表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1714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工作底稿印刷费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992"/>
        <w:gridCol w:w="1276"/>
        <w:gridCol w:w="2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管理费用表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水电费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修理费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工会经费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聘请中介机构费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诉讼费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行业会费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上缴管理费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其中：上缴国内管理总部管理费或服务费等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上交国际会计网络年费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存货盘亏或盘盈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计提坏账准备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计提的存货跌价准备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pStyle w:val="50"/>
        <w:spacing w:line="120" w:lineRule="exact"/>
        <w:ind w:firstLine="640"/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>
      <w:pPr>
        <w:pStyle w:val="50"/>
        <w:spacing w:line="120" w:lineRule="exact"/>
        <w:ind w:firstLine="640"/>
      </w:pPr>
    </w:p>
    <w:tbl>
      <w:tblPr>
        <w:tblStyle w:val="18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992"/>
        <w:gridCol w:w="1843"/>
        <w:gridCol w:w="2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tbl>
            <w:tblPr>
              <w:tblStyle w:val="18"/>
              <w:tblW w:w="8953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2"/>
              <w:gridCol w:w="310"/>
              <w:gridCol w:w="626"/>
              <w:gridCol w:w="1357"/>
              <w:gridCol w:w="35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highlight w:val="none"/>
                    </w:rPr>
                    <w:t>专项支出统计表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202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年度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单位编码：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会所03表附表3-1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单位名称：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单位：元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行次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上年数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本年累计数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栏        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人才培养支出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其中：境内培训支出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境外培训支出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信息化支出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其中：审计作业系统开发、采购及运维费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内部管理系统开发、采购及运维费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基础设施采购及运维费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网络服务费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信息安全合规类费用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合   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注：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*请仔细阅读指标口径后，根据指标口径进行填写。具体指标口径说明请点击如下链接或指标名称下载：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3402" w:type="dxa"/>
                  <w:gridSpan w:val="2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人才培养支出口径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  <w:tc>
                <w:tcPr>
                  <w:tcW w:w="5551" w:type="dxa"/>
                  <w:gridSpan w:val="3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信息化支出口径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现金流量表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会所04表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上期金额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一、经营活动产生的现金流量：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销售商品、提供劳务收到的现金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收到的税费返还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购买商品、接受劳务支付的现金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支付给职工以及为职工支付的现金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支付的各项税费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经营活动产生的现金流量净额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二、投资活动产生的现金流量：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收回投资收到的现金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取得投资收益收到的现金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处置固定资产、无形资产和其他长期资产收回的现金净额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处置子公司及其他营业单位收到的现金净额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购建固定资产、无形资产和其他长期资产支付的现金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投资支付的现金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取得子公司及其他营业单位支付的现金净额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投资活动产生的现金流量净额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三、筹资活动产生的现金流量：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吸收投资收到的现金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取得借款收到的现金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偿还债务支付的现金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分配股利、利润或偿付利息支付的现金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筹资活动产生的现金流量净额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四、汇率变动对现金及现金等价物的影响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五、现金及现金等价物净增加额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加：期初现金及现金等价物余额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六、期末现金及现金等价物余额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6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503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1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675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630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p>
      <w:pPr>
        <w:pStyle w:val="50"/>
        <w:ind w:firstLine="640"/>
      </w:pPr>
    </w:p>
    <w:tbl>
      <w:tblPr>
        <w:tblStyle w:val="18"/>
        <w:tblW w:w="142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p>
      <w:pPr>
        <w:pStyle w:val="50"/>
        <w:spacing w:line="40" w:lineRule="exact"/>
        <w:ind w:firstLine="640"/>
      </w:pPr>
    </w:p>
    <w:p>
      <w:pPr>
        <w:pStyle w:val="50"/>
        <w:spacing w:line="40" w:lineRule="exact"/>
        <w:ind w:firstLine="640"/>
      </w:pPr>
    </w:p>
    <w:p/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tabs>
          <w:tab w:val="left" w:pos="5880"/>
        </w:tabs>
        <w:ind w:firstLine="442"/>
        <w:rPr>
          <w:rFonts w:ascii="宋体" w:hAnsi="宋体" w:cs="Arial"/>
          <w:b/>
          <w:bCs/>
          <w:color w:val="000000"/>
          <w:kern w:val="0"/>
          <w:sz w:val="22"/>
        </w:rPr>
      </w:pPr>
    </w:p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559"/>
        <w:gridCol w:w="1673"/>
        <w:gridCol w:w="1759"/>
        <w:gridCol w:w="559"/>
        <w:gridCol w:w="1673"/>
        <w:gridCol w:w="1759"/>
        <w:gridCol w:w="559"/>
        <w:gridCol w:w="2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三、经其他事务所审计的财务报告业务收入*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*****该表由集团所（含总所）填写根据合并财务报表等相关企业会计准则的确认、计量和列报要求，反映合并口径下经审计后的财务报告业务收入，并根据不同业务收入类型，分别填写明细数据。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>
      <w:pPr>
        <w:tabs>
          <w:tab w:val="left" w:pos="5880"/>
        </w:tabs>
        <w:ind w:firstLine="442"/>
      </w:pPr>
    </w:p>
    <w:p/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1157"/>
        <w:gridCol w:w="1690"/>
        <w:gridCol w:w="6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17行=16行+1行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7行=8行+9行+10行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37行=1行+6行+…+14行+18行+19行+20行+…+30行+33行+…+37行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第4列&gt;30%（或&gt;-30%）时，第5列≠空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变动表表与其他各表之间的勾稽关系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8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78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B1C2F36"/>
    <w:rsid w:val="2D9400E4"/>
    <w:rsid w:val="4EFF7DEE"/>
    <w:rsid w:val="52B4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uiPriority w:val="99"/>
    <w:pPr>
      <w:spacing w:after="120"/>
    </w:pPr>
  </w:style>
  <w:style w:type="paragraph" w:styleId="7">
    <w:name w:val="Body Text Indent"/>
    <w:basedOn w:val="1"/>
    <w:link w:val="38"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uiPriority w:val="99"/>
    <w:rPr>
      <w:b/>
      <w:bCs/>
    </w:rPr>
  </w:style>
  <w:style w:type="table" w:styleId="19">
    <w:name w:val="Table Grid"/>
    <w:basedOn w:val="18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uiPriority w:val="0"/>
  </w:style>
  <w:style w:type="character" w:styleId="23">
    <w:name w:val="FollowedHyperlink"/>
    <w:basedOn w:val="20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2369</Words>
  <Characters>13507</Characters>
  <Lines>112</Lines>
  <Paragraphs>31</Paragraphs>
  <TotalTime>19</TotalTime>
  <ScaleCrop>false</ScaleCrop>
  <LinksUpToDate>false</LinksUpToDate>
  <CharactersWithSpaces>15845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马国芳</cp:lastModifiedBy>
  <dcterms:modified xsi:type="dcterms:W3CDTF">2025-03-11T03:00:54Z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4A1D0DC003EC4D74BFBCDBB77579F35B</vt:lpwstr>
  </property>
</Properties>
</file>