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6B6B5" w14:textId="77777777" w:rsidR="000C29B8" w:rsidRDefault="00000000">
      <w:pPr>
        <w:pStyle w:val="Style3"/>
        <w:spacing w:line="540" w:lineRule="exact"/>
        <w:ind w:firstLineChars="0" w:firstLine="0"/>
        <w:jc w:val="left"/>
        <w:rPr>
          <w:rFonts w:eastAsia="仿宋_GB2312" w:cs="黑体"/>
          <w:bCs/>
          <w:sz w:val="30"/>
          <w:szCs w:val="30"/>
        </w:rPr>
      </w:pPr>
      <w:bookmarkStart w:id="0" w:name="_Hlk162526704"/>
      <w:r>
        <w:rPr>
          <w:rFonts w:eastAsia="仿宋_GB2312" w:cs="黑体" w:hint="eastAsia"/>
          <w:bCs/>
          <w:sz w:val="30"/>
          <w:szCs w:val="30"/>
        </w:rPr>
        <w:t>附件</w:t>
      </w:r>
      <w:r>
        <w:rPr>
          <w:rFonts w:eastAsia="仿宋_GB2312" w:cs="黑体" w:hint="eastAsia"/>
          <w:bCs/>
          <w:sz w:val="30"/>
          <w:szCs w:val="30"/>
        </w:rPr>
        <w:t>1</w:t>
      </w:r>
    </w:p>
    <w:bookmarkEnd w:id="0"/>
    <w:p w14:paraId="5C3BEA43" w14:textId="77777777" w:rsidR="000C29B8" w:rsidRDefault="000C29B8">
      <w:pPr>
        <w:ind w:firstLine="602"/>
        <w:rPr>
          <w:rFonts w:ascii="仿宋_GB2312" w:eastAsia="仿宋_GB2312" w:hAnsi="华文中宋"/>
          <w:b/>
          <w:sz w:val="30"/>
          <w:szCs w:val="30"/>
        </w:rPr>
      </w:pPr>
    </w:p>
    <w:p w14:paraId="0196E223" w14:textId="77777777" w:rsidR="000C29B8" w:rsidRDefault="00000000">
      <w:pPr>
        <w:snapToGrid w:val="0"/>
        <w:spacing w:line="560" w:lineRule="exact"/>
        <w:jc w:val="center"/>
        <w:rPr>
          <w:rFonts w:ascii="黑体" w:eastAsia="黑体" w:hAnsi="黑体"/>
          <w:b/>
          <w:bCs/>
          <w:sz w:val="44"/>
          <w:szCs w:val="44"/>
        </w:rPr>
      </w:pPr>
      <w:r>
        <w:rPr>
          <w:rFonts w:ascii="黑体" w:eastAsia="黑体" w:hAnsi="黑体" w:hint="eastAsia"/>
          <w:b/>
          <w:bCs/>
          <w:sz w:val="44"/>
          <w:szCs w:val="44"/>
        </w:rPr>
        <w:t>上海证券交易所</w:t>
      </w:r>
      <w:proofErr w:type="gramStart"/>
      <w:r>
        <w:rPr>
          <w:rFonts w:ascii="黑体" w:eastAsia="黑体" w:hAnsi="黑体" w:hint="eastAsia"/>
          <w:b/>
          <w:bCs/>
          <w:sz w:val="44"/>
          <w:szCs w:val="44"/>
        </w:rPr>
        <w:t>科创板股票</w:t>
      </w:r>
      <w:proofErr w:type="gramEnd"/>
      <w:r>
        <w:rPr>
          <w:rFonts w:ascii="黑体" w:eastAsia="黑体" w:hAnsi="黑体" w:hint="eastAsia"/>
          <w:b/>
          <w:bCs/>
          <w:sz w:val="44"/>
          <w:szCs w:val="44"/>
        </w:rPr>
        <w:t>上市规则</w:t>
      </w:r>
    </w:p>
    <w:p w14:paraId="146E0B5F" w14:textId="77777777" w:rsidR="000C29B8" w:rsidRDefault="000C29B8">
      <w:pPr>
        <w:snapToGrid w:val="0"/>
        <w:spacing w:line="560" w:lineRule="exact"/>
        <w:ind w:firstLine="560"/>
        <w:jc w:val="center"/>
        <w:rPr>
          <w:rFonts w:ascii="仿宋_GB2312" w:eastAsia="仿宋_GB2312" w:hAnsi="宋体"/>
          <w:bCs/>
          <w:sz w:val="28"/>
          <w:szCs w:val="28"/>
        </w:rPr>
      </w:pPr>
    </w:p>
    <w:p w14:paraId="5CB6E6E5" w14:textId="77777777" w:rsidR="000C29B8" w:rsidRDefault="00000000">
      <w:pPr>
        <w:snapToGrid w:val="0"/>
        <w:spacing w:line="560" w:lineRule="exact"/>
        <w:rPr>
          <w:rFonts w:ascii="仿宋_GB2312" w:eastAsia="仿宋_GB2312"/>
          <w:sz w:val="28"/>
          <w:szCs w:val="28"/>
        </w:rPr>
      </w:pPr>
      <w:r>
        <w:rPr>
          <w:rFonts w:ascii="仿宋_GB2312" w:eastAsia="仿宋_GB2312" w:hAnsi="宋体" w:hint="eastAsia"/>
          <w:bCs/>
          <w:sz w:val="28"/>
          <w:szCs w:val="28"/>
        </w:rPr>
        <w:t>（</w:t>
      </w:r>
      <w:r>
        <w:rPr>
          <w:rFonts w:ascii="仿宋_GB2312" w:eastAsia="仿宋_GB2312" w:hint="eastAsia"/>
          <w:sz w:val="28"/>
          <w:szCs w:val="28"/>
        </w:rPr>
        <w:t xml:space="preserve">2019年3月实施  2019年4月第一次修订 </w:t>
      </w:r>
      <w:r>
        <w:rPr>
          <w:rFonts w:ascii="仿宋_GB2312" w:eastAsia="仿宋_GB2312"/>
          <w:sz w:val="28"/>
          <w:szCs w:val="28"/>
        </w:rPr>
        <w:t xml:space="preserve"> </w:t>
      </w:r>
      <w:r>
        <w:rPr>
          <w:rFonts w:ascii="仿宋_GB2312" w:eastAsia="仿宋_GB2312" w:hint="eastAsia"/>
          <w:sz w:val="28"/>
          <w:szCs w:val="28"/>
        </w:rPr>
        <w:t>20</w:t>
      </w:r>
      <w:r>
        <w:rPr>
          <w:rFonts w:ascii="仿宋_GB2312" w:eastAsia="仿宋_GB2312"/>
          <w:sz w:val="28"/>
          <w:szCs w:val="28"/>
        </w:rPr>
        <w:t>20</w:t>
      </w:r>
      <w:r>
        <w:rPr>
          <w:rFonts w:ascii="仿宋_GB2312" w:eastAsia="仿宋_GB2312" w:hint="eastAsia"/>
          <w:sz w:val="28"/>
          <w:szCs w:val="28"/>
        </w:rPr>
        <w:t>年</w:t>
      </w:r>
      <w:r>
        <w:rPr>
          <w:rFonts w:ascii="仿宋_GB2312" w:eastAsia="仿宋_GB2312"/>
          <w:sz w:val="28"/>
          <w:szCs w:val="28"/>
        </w:rPr>
        <w:t>12</w:t>
      </w:r>
      <w:r>
        <w:rPr>
          <w:rFonts w:ascii="仿宋_GB2312" w:eastAsia="仿宋_GB2312" w:hint="eastAsia"/>
          <w:sz w:val="28"/>
          <w:szCs w:val="28"/>
        </w:rPr>
        <w:t>月第二次修订  2023年</w:t>
      </w:r>
      <w:r>
        <w:rPr>
          <w:rFonts w:ascii="仿宋_GB2312" w:eastAsia="仿宋_GB2312" w:hAnsi="宋体" w:hint="eastAsia"/>
          <w:bCs/>
          <w:sz w:val="28"/>
          <w:szCs w:val="28"/>
        </w:rPr>
        <w:t>8</w:t>
      </w:r>
      <w:r>
        <w:rPr>
          <w:rFonts w:ascii="仿宋_GB2312" w:eastAsia="仿宋_GB2312" w:hint="eastAsia"/>
          <w:sz w:val="28"/>
          <w:szCs w:val="28"/>
        </w:rPr>
        <w:t>月第三次修订</w:t>
      </w:r>
      <w:r>
        <w:rPr>
          <w:rFonts w:ascii="仿宋_GB2312" w:eastAsia="仿宋_GB2312" w:hAnsi="宋体" w:hint="eastAsia"/>
          <w:bCs/>
          <w:sz w:val="28"/>
          <w:szCs w:val="28"/>
        </w:rPr>
        <w:t xml:space="preserve">  2024年</w:t>
      </w:r>
      <w:r>
        <w:rPr>
          <w:rFonts w:ascii="仿宋_GB2312" w:eastAsia="仿宋_GB2312" w:hAnsi="宋体"/>
          <w:bCs/>
          <w:sz w:val="28"/>
          <w:szCs w:val="28"/>
        </w:rPr>
        <w:t>4</w:t>
      </w:r>
      <w:r>
        <w:rPr>
          <w:rFonts w:ascii="仿宋_GB2312" w:eastAsia="仿宋_GB2312" w:hAnsi="宋体" w:hint="eastAsia"/>
          <w:bCs/>
          <w:sz w:val="28"/>
          <w:szCs w:val="28"/>
        </w:rPr>
        <w:t>月第四次修订</w:t>
      </w:r>
      <w:r>
        <w:rPr>
          <w:rFonts w:ascii="仿宋_GB2312" w:eastAsia="仿宋_GB2312" w:hint="eastAsia"/>
          <w:sz w:val="28"/>
          <w:szCs w:val="28"/>
        </w:rPr>
        <w:t>）</w:t>
      </w:r>
    </w:p>
    <w:p w14:paraId="6FC4CB0C" w14:textId="77777777" w:rsidR="000C29B8" w:rsidRPr="00AE0219" w:rsidRDefault="000C29B8">
      <w:pPr>
        <w:snapToGrid w:val="0"/>
        <w:spacing w:line="560" w:lineRule="exact"/>
        <w:ind w:firstLine="720"/>
        <w:rPr>
          <w:rFonts w:ascii="华文中宋" w:eastAsia="华文中宋" w:hAnsi="华文中宋"/>
          <w:sz w:val="36"/>
          <w:szCs w:val="36"/>
        </w:rPr>
      </w:pPr>
    </w:p>
    <w:p w14:paraId="6BAE8A6F" w14:textId="77777777" w:rsidR="000C29B8" w:rsidRDefault="00000000">
      <w:pPr>
        <w:snapToGrid w:val="0"/>
        <w:spacing w:line="560" w:lineRule="exact"/>
        <w:ind w:firstLine="562"/>
        <w:jc w:val="center"/>
        <w:rPr>
          <w:rFonts w:ascii="黑体" w:eastAsia="黑体" w:hAnsi="黑体"/>
          <w:b/>
          <w:sz w:val="28"/>
          <w:szCs w:val="28"/>
        </w:rPr>
      </w:pPr>
      <w:r>
        <w:rPr>
          <w:rFonts w:ascii="黑体" w:eastAsia="黑体" w:hAnsi="黑体" w:hint="eastAsia"/>
          <w:b/>
          <w:sz w:val="28"/>
          <w:szCs w:val="28"/>
        </w:rPr>
        <w:t>目    录</w:t>
      </w:r>
    </w:p>
    <w:p w14:paraId="2201C6ED" w14:textId="513CD5E3" w:rsidR="000C29B8" w:rsidRDefault="00000000" w:rsidP="00AE0219">
      <w:pPr>
        <w:pStyle w:val="TOC1"/>
        <w:tabs>
          <w:tab w:val="clear" w:pos="420"/>
          <w:tab w:val="clear" w:pos="1134"/>
          <w:tab w:val="clear" w:pos="8380"/>
          <w:tab w:val="right" w:leader="dot" w:pos="8312"/>
        </w:tabs>
        <w:snapToGrid w:val="0"/>
        <w:ind w:firstLine="643"/>
        <w:rPr>
          <w:noProof/>
          <w:sz w:val="24"/>
        </w:rPr>
      </w:pPr>
      <w:r>
        <w:rPr>
          <w:rFonts w:eastAsia="仿宋_GB2312"/>
          <w:sz w:val="24"/>
        </w:rPr>
        <w:fldChar w:fldCharType="begin"/>
      </w:r>
      <w:r>
        <w:rPr>
          <w:rFonts w:eastAsia="仿宋_GB2312"/>
          <w:sz w:val="24"/>
        </w:rPr>
        <w:instrText xml:space="preserve"> TOC \o "1-3" \h \z \u </w:instrText>
      </w:r>
      <w:r>
        <w:rPr>
          <w:rFonts w:eastAsia="仿宋_GB2312"/>
          <w:sz w:val="24"/>
        </w:rPr>
        <w:fldChar w:fldCharType="separate"/>
      </w:r>
      <w:hyperlink w:anchor="_Toc28099" w:history="1">
        <w:r>
          <w:rPr>
            <w:noProof/>
            <w:sz w:val="24"/>
          </w:rPr>
          <w:t>第一章</w:t>
        </w:r>
        <w:r>
          <w:rPr>
            <w:noProof/>
            <w:sz w:val="24"/>
          </w:rPr>
          <w:t xml:space="preserve"> </w:t>
        </w:r>
        <w:r>
          <w:rPr>
            <w:noProof/>
            <w:sz w:val="24"/>
          </w:rPr>
          <w:t>总</w:t>
        </w:r>
        <w:r>
          <w:rPr>
            <w:noProof/>
            <w:sz w:val="24"/>
          </w:rPr>
          <w:t xml:space="preserve">  </w:t>
        </w:r>
        <w:r>
          <w:rPr>
            <w:noProof/>
            <w:sz w:val="24"/>
          </w:rPr>
          <w:t>则</w:t>
        </w:r>
        <w:r>
          <w:rPr>
            <w:noProof/>
            <w:sz w:val="24"/>
          </w:rPr>
          <w:tab/>
        </w:r>
        <w:r>
          <w:rPr>
            <w:noProof/>
            <w:sz w:val="24"/>
          </w:rPr>
          <w:fldChar w:fldCharType="begin"/>
        </w:r>
        <w:r>
          <w:rPr>
            <w:noProof/>
            <w:sz w:val="24"/>
          </w:rPr>
          <w:instrText xml:space="preserve"> PAGEREF _Toc28099 \h </w:instrText>
        </w:r>
        <w:r>
          <w:rPr>
            <w:noProof/>
            <w:sz w:val="24"/>
          </w:rPr>
        </w:r>
        <w:r>
          <w:rPr>
            <w:noProof/>
            <w:sz w:val="24"/>
          </w:rPr>
          <w:fldChar w:fldCharType="separate"/>
        </w:r>
        <w:r w:rsidR="0031662D">
          <w:rPr>
            <w:noProof/>
            <w:sz w:val="24"/>
          </w:rPr>
          <w:t>4</w:t>
        </w:r>
        <w:r>
          <w:rPr>
            <w:noProof/>
            <w:sz w:val="24"/>
          </w:rPr>
          <w:fldChar w:fldCharType="end"/>
        </w:r>
      </w:hyperlink>
    </w:p>
    <w:p w14:paraId="39393CA7" w14:textId="638D79EE" w:rsidR="000C29B8" w:rsidRDefault="00000000">
      <w:pPr>
        <w:pStyle w:val="TOC1"/>
        <w:tabs>
          <w:tab w:val="clear" w:pos="420"/>
          <w:tab w:val="clear" w:pos="1134"/>
          <w:tab w:val="clear" w:pos="8380"/>
          <w:tab w:val="right" w:leader="dot" w:pos="8312"/>
        </w:tabs>
        <w:snapToGrid w:val="0"/>
        <w:ind w:firstLine="643"/>
        <w:rPr>
          <w:noProof/>
          <w:sz w:val="24"/>
        </w:rPr>
      </w:pPr>
      <w:hyperlink w:anchor="_Toc3029" w:history="1">
        <w:r>
          <w:rPr>
            <w:noProof/>
            <w:sz w:val="24"/>
          </w:rPr>
          <w:t>第二章</w:t>
        </w:r>
        <w:r>
          <w:rPr>
            <w:noProof/>
            <w:sz w:val="24"/>
          </w:rPr>
          <w:t xml:space="preserve"> </w:t>
        </w:r>
        <w:r>
          <w:rPr>
            <w:noProof/>
            <w:sz w:val="24"/>
          </w:rPr>
          <w:t>股票上市与交易</w:t>
        </w:r>
        <w:r>
          <w:rPr>
            <w:noProof/>
            <w:sz w:val="24"/>
          </w:rPr>
          <w:tab/>
        </w:r>
        <w:r>
          <w:rPr>
            <w:noProof/>
            <w:sz w:val="24"/>
          </w:rPr>
          <w:fldChar w:fldCharType="begin"/>
        </w:r>
        <w:r>
          <w:rPr>
            <w:noProof/>
            <w:sz w:val="24"/>
          </w:rPr>
          <w:instrText xml:space="preserve"> PAGEREF _Toc3029 \h </w:instrText>
        </w:r>
        <w:r>
          <w:rPr>
            <w:noProof/>
            <w:sz w:val="24"/>
          </w:rPr>
        </w:r>
        <w:r>
          <w:rPr>
            <w:noProof/>
            <w:sz w:val="24"/>
          </w:rPr>
          <w:fldChar w:fldCharType="separate"/>
        </w:r>
        <w:r w:rsidR="0031662D">
          <w:rPr>
            <w:noProof/>
            <w:sz w:val="24"/>
          </w:rPr>
          <w:t>5</w:t>
        </w:r>
        <w:r>
          <w:rPr>
            <w:noProof/>
            <w:sz w:val="24"/>
          </w:rPr>
          <w:fldChar w:fldCharType="end"/>
        </w:r>
      </w:hyperlink>
    </w:p>
    <w:p w14:paraId="63D8A23D" w14:textId="22132830"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5593" w:history="1">
        <w:r>
          <w:rPr>
            <w:rFonts w:eastAsia="仿宋_GB2312"/>
            <w:b w:val="0"/>
            <w:bCs/>
            <w:noProof/>
            <w:sz w:val="24"/>
          </w:rPr>
          <w:t>第一节</w:t>
        </w:r>
        <w:r>
          <w:rPr>
            <w:rFonts w:eastAsia="仿宋_GB2312"/>
            <w:b w:val="0"/>
            <w:bCs/>
            <w:noProof/>
            <w:sz w:val="24"/>
          </w:rPr>
          <w:t xml:space="preserve"> </w:t>
        </w:r>
        <w:r>
          <w:rPr>
            <w:rFonts w:eastAsia="仿宋_GB2312"/>
            <w:b w:val="0"/>
            <w:bCs/>
            <w:noProof/>
            <w:sz w:val="24"/>
          </w:rPr>
          <w:t>首次公开发行股票的上市</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_Toc5593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5</w:t>
        </w:r>
        <w:r>
          <w:rPr>
            <w:rFonts w:eastAsia="仿宋_GB2312"/>
            <w:b w:val="0"/>
            <w:bCs/>
            <w:noProof/>
            <w:sz w:val="24"/>
          </w:rPr>
          <w:fldChar w:fldCharType="end"/>
        </w:r>
      </w:hyperlink>
    </w:p>
    <w:p w14:paraId="08D4FA9F" w14:textId="6026276A"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3728" w:history="1">
        <w:r>
          <w:rPr>
            <w:rFonts w:eastAsia="仿宋_GB2312"/>
            <w:b w:val="0"/>
            <w:bCs/>
            <w:noProof/>
            <w:sz w:val="24"/>
          </w:rPr>
          <w:t>第二节</w:t>
        </w:r>
        <w:r>
          <w:rPr>
            <w:rFonts w:eastAsia="仿宋_GB2312"/>
            <w:b w:val="0"/>
            <w:bCs/>
            <w:noProof/>
            <w:sz w:val="24"/>
          </w:rPr>
          <w:t xml:space="preserve"> </w:t>
        </w:r>
        <w:r>
          <w:rPr>
            <w:rFonts w:eastAsia="仿宋_GB2312"/>
            <w:b w:val="0"/>
            <w:bCs/>
            <w:noProof/>
            <w:sz w:val="24"/>
          </w:rPr>
          <w:t>上市公司股票发行上市</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_Toc3728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9</w:t>
        </w:r>
        <w:r>
          <w:rPr>
            <w:rFonts w:eastAsia="仿宋_GB2312"/>
            <w:b w:val="0"/>
            <w:bCs/>
            <w:noProof/>
            <w:sz w:val="24"/>
          </w:rPr>
          <w:fldChar w:fldCharType="end"/>
        </w:r>
      </w:hyperlink>
    </w:p>
    <w:p w14:paraId="6D9F4DEC" w14:textId="16904A13"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21974" w:history="1">
        <w:r>
          <w:rPr>
            <w:rFonts w:eastAsia="仿宋_GB2312"/>
            <w:b w:val="0"/>
            <w:bCs/>
            <w:noProof/>
            <w:sz w:val="24"/>
          </w:rPr>
          <w:t>第三节</w:t>
        </w:r>
        <w:r>
          <w:rPr>
            <w:rFonts w:eastAsia="仿宋_GB2312"/>
            <w:b w:val="0"/>
            <w:bCs/>
            <w:noProof/>
            <w:sz w:val="24"/>
          </w:rPr>
          <w:t xml:space="preserve"> </w:t>
        </w:r>
        <w:r>
          <w:rPr>
            <w:rFonts w:eastAsia="仿宋_GB2312"/>
            <w:b w:val="0"/>
            <w:bCs/>
            <w:noProof/>
            <w:sz w:val="24"/>
          </w:rPr>
          <w:t>股份解除限售</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_Toc21974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10</w:t>
        </w:r>
        <w:r>
          <w:rPr>
            <w:rFonts w:eastAsia="仿宋_GB2312"/>
            <w:b w:val="0"/>
            <w:bCs/>
            <w:noProof/>
            <w:sz w:val="24"/>
          </w:rPr>
          <w:fldChar w:fldCharType="end"/>
        </w:r>
      </w:hyperlink>
    </w:p>
    <w:p w14:paraId="137D3E5D" w14:textId="4CE8E783"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19123" w:history="1">
        <w:r>
          <w:rPr>
            <w:rFonts w:eastAsia="仿宋_GB2312"/>
            <w:b w:val="0"/>
            <w:bCs/>
            <w:noProof/>
            <w:sz w:val="24"/>
          </w:rPr>
          <w:t>第四节</w:t>
        </w:r>
        <w:r>
          <w:rPr>
            <w:rFonts w:eastAsia="仿宋_GB2312"/>
            <w:b w:val="0"/>
            <w:bCs/>
            <w:noProof/>
            <w:sz w:val="24"/>
          </w:rPr>
          <w:t xml:space="preserve"> </w:t>
        </w:r>
        <w:r>
          <w:rPr>
            <w:rFonts w:eastAsia="仿宋_GB2312"/>
            <w:b w:val="0"/>
            <w:bCs/>
            <w:noProof/>
            <w:sz w:val="24"/>
          </w:rPr>
          <w:t>股份减持</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_Toc19123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11</w:t>
        </w:r>
        <w:r>
          <w:rPr>
            <w:rFonts w:eastAsia="仿宋_GB2312"/>
            <w:b w:val="0"/>
            <w:bCs/>
            <w:noProof/>
            <w:sz w:val="24"/>
          </w:rPr>
          <w:fldChar w:fldCharType="end"/>
        </w:r>
      </w:hyperlink>
    </w:p>
    <w:p w14:paraId="46CE315A" w14:textId="0B571BAE" w:rsidR="000C29B8" w:rsidRDefault="00000000">
      <w:pPr>
        <w:pStyle w:val="TOC1"/>
        <w:tabs>
          <w:tab w:val="clear" w:pos="420"/>
          <w:tab w:val="clear" w:pos="1134"/>
          <w:tab w:val="clear" w:pos="8380"/>
          <w:tab w:val="right" w:leader="dot" w:pos="8312"/>
        </w:tabs>
        <w:snapToGrid w:val="0"/>
        <w:ind w:firstLine="643"/>
        <w:rPr>
          <w:noProof/>
          <w:sz w:val="24"/>
        </w:rPr>
      </w:pPr>
      <w:hyperlink w:anchor="_Toc12094" w:history="1">
        <w:r>
          <w:rPr>
            <w:noProof/>
            <w:sz w:val="24"/>
          </w:rPr>
          <w:t>第三章</w:t>
        </w:r>
        <w:r>
          <w:rPr>
            <w:noProof/>
            <w:sz w:val="24"/>
          </w:rPr>
          <w:t xml:space="preserve"> </w:t>
        </w:r>
        <w:r>
          <w:rPr>
            <w:noProof/>
            <w:sz w:val="24"/>
          </w:rPr>
          <w:t>持续督导</w:t>
        </w:r>
        <w:r>
          <w:rPr>
            <w:noProof/>
            <w:sz w:val="24"/>
          </w:rPr>
          <w:tab/>
        </w:r>
        <w:r>
          <w:rPr>
            <w:noProof/>
            <w:sz w:val="24"/>
          </w:rPr>
          <w:fldChar w:fldCharType="begin"/>
        </w:r>
        <w:r>
          <w:rPr>
            <w:noProof/>
            <w:sz w:val="24"/>
          </w:rPr>
          <w:instrText xml:space="preserve"> PAGEREF _Toc12094 \h </w:instrText>
        </w:r>
        <w:r>
          <w:rPr>
            <w:noProof/>
            <w:sz w:val="24"/>
          </w:rPr>
        </w:r>
        <w:r>
          <w:rPr>
            <w:noProof/>
            <w:sz w:val="24"/>
          </w:rPr>
          <w:fldChar w:fldCharType="separate"/>
        </w:r>
        <w:r w:rsidR="0031662D">
          <w:rPr>
            <w:noProof/>
            <w:sz w:val="24"/>
          </w:rPr>
          <w:t>13</w:t>
        </w:r>
        <w:r>
          <w:rPr>
            <w:noProof/>
            <w:sz w:val="24"/>
          </w:rPr>
          <w:fldChar w:fldCharType="end"/>
        </w:r>
      </w:hyperlink>
    </w:p>
    <w:p w14:paraId="6F48330B" w14:textId="5826C7A6"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3749" w:history="1">
        <w:r>
          <w:rPr>
            <w:rFonts w:eastAsia="仿宋_GB2312"/>
            <w:b w:val="0"/>
            <w:bCs/>
            <w:noProof/>
            <w:sz w:val="24"/>
          </w:rPr>
          <w:t>第一节</w:t>
        </w:r>
        <w:r>
          <w:rPr>
            <w:rFonts w:eastAsia="仿宋_GB2312"/>
            <w:b w:val="0"/>
            <w:bCs/>
            <w:noProof/>
            <w:sz w:val="24"/>
          </w:rPr>
          <w:t xml:space="preserve"> </w:t>
        </w:r>
        <w:r>
          <w:rPr>
            <w:rFonts w:eastAsia="仿宋_GB2312"/>
            <w:b w:val="0"/>
            <w:bCs/>
            <w:noProof/>
            <w:sz w:val="24"/>
          </w:rPr>
          <w:t>一般规定</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_Toc3749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13</w:t>
        </w:r>
        <w:r>
          <w:rPr>
            <w:rFonts w:eastAsia="仿宋_GB2312"/>
            <w:b w:val="0"/>
            <w:bCs/>
            <w:noProof/>
            <w:sz w:val="24"/>
          </w:rPr>
          <w:fldChar w:fldCharType="end"/>
        </w:r>
      </w:hyperlink>
    </w:p>
    <w:p w14:paraId="3FDB15AC" w14:textId="2AB5C7ED"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1546" w:history="1">
        <w:r>
          <w:rPr>
            <w:rFonts w:eastAsia="仿宋_GB2312"/>
            <w:b w:val="0"/>
            <w:bCs/>
            <w:noProof/>
            <w:sz w:val="24"/>
          </w:rPr>
          <w:t>第二节</w:t>
        </w:r>
        <w:r>
          <w:rPr>
            <w:rFonts w:eastAsia="仿宋_GB2312"/>
            <w:b w:val="0"/>
            <w:bCs/>
            <w:noProof/>
            <w:sz w:val="24"/>
          </w:rPr>
          <w:t xml:space="preserve"> </w:t>
        </w:r>
        <w:r>
          <w:rPr>
            <w:rFonts w:eastAsia="仿宋_GB2312"/>
            <w:b w:val="0"/>
            <w:bCs/>
            <w:noProof/>
            <w:sz w:val="24"/>
          </w:rPr>
          <w:t>持续督导职责的履行</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_Toc1546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16</w:t>
        </w:r>
        <w:r>
          <w:rPr>
            <w:rFonts w:eastAsia="仿宋_GB2312"/>
            <w:b w:val="0"/>
            <w:bCs/>
            <w:noProof/>
            <w:sz w:val="24"/>
          </w:rPr>
          <w:fldChar w:fldCharType="end"/>
        </w:r>
      </w:hyperlink>
    </w:p>
    <w:p w14:paraId="52DB37E2" w14:textId="4BF73B38" w:rsidR="000C29B8" w:rsidRDefault="00000000">
      <w:pPr>
        <w:pStyle w:val="TOC1"/>
        <w:tabs>
          <w:tab w:val="clear" w:pos="420"/>
          <w:tab w:val="clear" w:pos="1134"/>
          <w:tab w:val="clear" w:pos="8380"/>
          <w:tab w:val="right" w:leader="dot" w:pos="8312"/>
        </w:tabs>
        <w:snapToGrid w:val="0"/>
        <w:ind w:firstLine="643"/>
        <w:rPr>
          <w:noProof/>
          <w:sz w:val="24"/>
        </w:rPr>
      </w:pPr>
      <w:hyperlink w:anchor="_Toc26877" w:history="1">
        <w:r>
          <w:rPr>
            <w:noProof/>
            <w:sz w:val="24"/>
          </w:rPr>
          <w:t>第四章</w:t>
        </w:r>
        <w:r>
          <w:rPr>
            <w:noProof/>
            <w:sz w:val="24"/>
          </w:rPr>
          <w:t xml:space="preserve"> </w:t>
        </w:r>
        <w:r>
          <w:rPr>
            <w:noProof/>
            <w:sz w:val="24"/>
          </w:rPr>
          <w:t>内部治理</w:t>
        </w:r>
        <w:r>
          <w:rPr>
            <w:noProof/>
            <w:sz w:val="24"/>
          </w:rPr>
          <w:tab/>
        </w:r>
        <w:r>
          <w:rPr>
            <w:noProof/>
            <w:sz w:val="24"/>
          </w:rPr>
          <w:fldChar w:fldCharType="begin"/>
        </w:r>
        <w:r>
          <w:rPr>
            <w:noProof/>
            <w:sz w:val="24"/>
          </w:rPr>
          <w:instrText xml:space="preserve"> PAGEREF _Toc26877 \h </w:instrText>
        </w:r>
        <w:r>
          <w:rPr>
            <w:noProof/>
            <w:sz w:val="24"/>
          </w:rPr>
        </w:r>
        <w:r>
          <w:rPr>
            <w:noProof/>
            <w:sz w:val="24"/>
          </w:rPr>
          <w:fldChar w:fldCharType="separate"/>
        </w:r>
        <w:r w:rsidR="0031662D">
          <w:rPr>
            <w:noProof/>
            <w:sz w:val="24"/>
          </w:rPr>
          <w:t>22</w:t>
        </w:r>
        <w:r>
          <w:rPr>
            <w:noProof/>
            <w:sz w:val="24"/>
          </w:rPr>
          <w:fldChar w:fldCharType="end"/>
        </w:r>
      </w:hyperlink>
    </w:p>
    <w:p w14:paraId="3EFBAF1F" w14:textId="40040D64"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1773" w:history="1">
        <w:r>
          <w:rPr>
            <w:rFonts w:eastAsia="仿宋_GB2312"/>
            <w:b w:val="0"/>
            <w:bCs/>
            <w:noProof/>
            <w:sz w:val="24"/>
          </w:rPr>
          <w:t>第一节</w:t>
        </w:r>
        <w:r>
          <w:rPr>
            <w:rFonts w:eastAsia="仿宋_GB2312"/>
            <w:b w:val="0"/>
            <w:bCs/>
            <w:noProof/>
            <w:sz w:val="24"/>
          </w:rPr>
          <w:t xml:space="preserve"> </w:t>
        </w:r>
        <w:r>
          <w:rPr>
            <w:rFonts w:eastAsia="仿宋_GB2312"/>
            <w:b w:val="0"/>
            <w:bCs/>
            <w:noProof/>
            <w:sz w:val="24"/>
          </w:rPr>
          <w:t>控股股东及实际控制人</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_Toc1773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22</w:t>
        </w:r>
        <w:r>
          <w:rPr>
            <w:rFonts w:eastAsia="仿宋_GB2312"/>
            <w:b w:val="0"/>
            <w:bCs/>
            <w:noProof/>
            <w:sz w:val="24"/>
          </w:rPr>
          <w:fldChar w:fldCharType="end"/>
        </w:r>
      </w:hyperlink>
    </w:p>
    <w:p w14:paraId="5879FFD1" w14:textId="3E5C6148"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12854" w:history="1">
        <w:r>
          <w:rPr>
            <w:rFonts w:eastAsia="仿宋_GB2312"/>
            <w:b w:val="0"/>
            <w:bCs/>
            <w:noProof/>
            <w:sz w:val="24"/>
          </w:rPr>
          <w:t>第二节</w:t>
        </w:r>
        <w:r>
          <w:rPr>
            <w:rFonts w:eastAsia="仿宋_GB2312"/>
            <w:b w:val="0"/>
            <w:bCs/>
            <w:noProof/>
            <w:sz w:val="24"/>
          </w:rPr>
          <w:t xml:space="preserve"> </w:t>
        </w:r>
        <w:r>
          <w:rPr>
            <w:rFonts w:eastAsia="仿宋_GB2312"/>
            <w:b w:val="0"/>
            <w:bCs/>
            <w:noProof/>
            <w:sz w:val="24"/>
          </w:rPr>
          <w:t>董事、监事和高级管理人员</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_Toc12854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24</w:t>
        </w:r>
        <w:r>
          <w:rPr>
            <w:rFonts w:eastAsia="仿宋_GB2312"/>
            <w:b w:val="0"/>
            <w:bCs/>
            <w:noProof/>
            <w:sz w:val="24"/>
          </w:rPr>
          <w:fldChar w:fldCharType="end"/>
        </w:r>
      </w:hyperlink>
    </w:p>
    <w:p w14:paraId="5B57E0AC" w14:textId="0ED41E4D"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21697" w:history="1">
        <w:r>
          <w:rPr>
            <w:rFonts w:eastAsia="仿宋_GB2312"/>
            <w:b w:val="0"/>
            <w:bCs/>
            <w:noProof/>
            <w:sz w:val="24"/>
          </w:rPr>
          <w:t>第三节</w:t>
        </w:r>
        <w:r>
          <w:rPr>
            <w:rFonts w:eastAsia="仿宋_GB2312"/>
            <w:b w:val="0"/>
            <w:bCs/>
            <w:noProof/>
            <w:sz w:val="24"/>
          </w:rPr>
          <w:t xml:space="preserve"> </w:t>
        </w:r>
        <w:r>
          <w:rPr>
            <w:rFonts w:eastAsia="仿宋_GB2312"/>
            <w:b w:val="0"/>
            <w:bCs/>
            <w:noProof/>
            <w:sz w:val="24"/>
          </w:rPr>
          <w:t>规范运行</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_Toc21697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30</w:t>
        </w:r>
        <w:r>
          <w:rPr>
            <w:rFonts w:eastAsia="仿宋_GB2312"/>
            <w:b w:val="0"/>
            <w:bCs/>
            <w:noProof/>
            <w:sz w:val="24"/>
          </w:rPr>
          <w:fldChar w:fldCharType="end"/>
        </w:r>
      </w:hyperlink>
    </w:p>
    <w:p w14:paraId="555307F7" w14:textId="1A8D1DF4"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9442" w:history="1">
        <w:r>
          <w:rPr>
            <w:rFonts w:eastAsia="仿宋_GB2312"/>
            <w:b w:val="0"/>
            <w:bCs/>
            <w:noProof/>
            <w:sz w:val="24"/>
          </w:rPr>
          <w:t>第四节</w:t>
        </w:r>
        <w:r>
          <w:rPr>
            <w:rFonts w:eastAsia="仿宋_GB2312"/>
            <w:b w:val="0"/>
            <w:bCs/>
            <w:noProof/>
            <w:sz w:val="24"/>
          </w:rPr>
          <w:t xml:space="preserve"> </w:t>
        </w:r>
        <w:r>
          <w:rPr>
            <w:rFonts w:eastAsia="仿宋_GB2312"/>
            <w:b w:val="0"/>
            <w:bCs/>
            <w:noProof/>
            <w:sz w:val="24"/>
          </w:rPr>
          <w:t>社会责任</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_Toc9442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35</w:t>
        </w:r>
        <w:r>
          <w:rPr>
            <w:rFonts w:eastAsia="仿宋_GB2312"/>
            <w:b w:val="0"/>
            <w:bCs/>
            <w:noProof/>
            <w:sz w:val="24"/>
          </w:rPr>
          <w:fldChar w:fldCharType="end"/>
        </w:r>
      </w:hyperlink>
    </w:p>
    <w:p w14:paraId="6D6574A1" w14:textId="75059B87"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24166" w:history="1">
        <w:r>
          <w:rPr>
            <w:rFonts w:eastAsia="仿宋_GB2312"/>
            <w:b w:val="0"/>
            <w:bCs/>
            <w:noProof/>
            <w:sz w:val="24"/>
          </w:rPr>
          <w:t>第五节</w:t>
        </w:r>
        <w:r>
          <w:rPr>
            <w:rFonts w:eastAsia="仿宋_GB2312"/>
            <w:b w:val="0"/>
            <w:bCs/>
            <w:noProof/>
            <w:sz w:val="24"/>
          </w:rPr>
          <w:t xml:space="preserve"> </w:t>
        </w:r>
        <w:r>
          <w:rPr>
            <w:rFonts w:eastAsia="仿宋_GB2312"/>
            <w:b w:val="0"/>
            <w:bCs/>
            <w:noProof/>
            <w:sz w:val="24"/>
          </w:rPr>
          <w:t>表决权差异安排</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_Toc24166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36</w:t>
        </w:r>
        <w:r>
          <w:rPr>
            <w:rFonts w:eastAsia="仿宋_GB2312"/>
            <w:b w:val="0"/>
            <w:bCs/>
            <w:noProof/>
            <w:sz w:val="24"/>
          </w:rPr>
          <w:fldChar w:fldCharType="end"/>
        </w:r>
      </w:hyperlink>
    </w:p>
    <w:p w14:paraId="683845E3" w14:textId="0F0A8A35" w:rsidR="000C29B8" w:rsidRDefault="00000000">
      <w:pPr>
        <w:pStyle w:val="TOC1"/>
        <w:tabs>
          <w:tab w:val="clear" w:pos="420"/>
          <w:tab w:val="clear" w:pos="1134"/>
          <w:tab w:val="clear" w:pos="8380"/>
          <w:tab w:val="right" w:leader="dot" w:pos="8312"/>
        </w:tabs>
        <w:snapToGrid w:val="0"/>
        <w:ind w:firstLine="643"/>
        <w:rPr>
          <w:noProof/>
          <w:sz w:val="24"/>
        </w:rPr>
      </w:pPr>
      <w:hyperlink w:anchor="_Toc144" w:history="1">
        <w:r>
          <w:rPr>
            <w:noProof/>
            <w:sz w:val="24"/>
          </w:rPr>
          <w:t>第五章</w:t>
        </w:r>
        <w:r>
          <w:rPr>
            <w:noProof/>
            <w:sz w:val="24"/>
          </w:rPr>
          <w:t xml:space="preserve"> </w:t>
        </w:r>
        <w:r>
          <w:rPr>
            <w:noProof/>
            <w:sz w:val="24"/>
          </w:rPr>
          <w:t>信息披露一般规定</w:t>
        </w:r>
        <w:r>
          <w:rPr>
            <w:noProof/>
            <w:sz w:val="24"/>
          </w:rPr>
          <w:tab/>
        </w:r>
        <w:r>
          <w:rPr>
            <w:noProof/>
            <w:sz w:val="24"/>
          </w:rPr>
          <w:fldChar w:fldCharType="begin"/>
        </w:r>
        <w:r>
          <w:rPr>
            <w:noProof/>
            <w:sz w:val="24"/>
          </w:rPr>
          <w:instrText xml:space="preserve"> PAGEREF _Toc144 \h </w:instrText>
        </w:r>
        <w:r>
          <w:rPr>
            <w:noProof/>
            <w:sz w:val="24"/>
          </w:rPr>
        </w:r>
        <w:r>
          <w:rPr>
            <w:noProof/>
            <w:sz w:val="24"/>
          </w:rPr>
          <w:fldChar w:fldCharType="separate"/>
        </w:r>
        <w:r w:rsidR="0031662D">
          <w:rPr>
            <w:noProof/>
            <w:sz w:val="24"/>
          </w:rPr>
          <w:t>41</w:t>
        </w:r>
        <w:r>
          <w:rPr>
            <w:noProof/>
            <w:sz w:val="24"/>
          </w:rPr>
          <w:fldChar w:fldCharType="end"/>
        </w:r>
      </w:hyperlink>
    </w:p>
    <w:p w14:paraId="51DE09FA" w14:textId="14803893"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2207" w:history="1">
        <w:r>
          <w:rPr>
            <w:rFonts w:eastAsia="仿宋_GB2312"/>
            <w:b w:val="0"/>
            <w:bCs/>
            <w:noProof/>
            <w:sz w:val="24"/>
          </w:rPr>
          <w:t>第一节</w:t>
        </w:r>
        <w:r>
          <w:rPr>
            <w:rFonts w:eastAsia="仿宋_GB2312"/>
            <w:b w:val="0"/>
            <w:bCs/>
            <w:noProof/>
            <w:sz w:val="24"/>
          </w:rPr>
          <w:t xml:space="preserve"> </w:t>
        </w:r>
        <w:r>
          <w:rPr>
            <w:rFonts w:eastAsia="仿宋_GB2312"/>
            <w:b w:val="0"/>
            <w:bCs/>
            <w:noProof/>
            <w:sz w:val="24"/>
          </w:rPr>
          <w:t>信息披露基本原则</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_Toc2207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41</w:t>
        </w:r>
        <w:r>
          <w:rPr>
            <w:rFonts w:eastAsia="仿宋_GB2312"/>
            <w:b w:val="0"/>
            <w:bCs/>
            <w:noProof/>
            <w:sz w:val="24"/>
          </w:rPr>
          <w:fldChar w:fldCharType="end"/>
        </w:r>
      </w:hyperlink>
    </w:p>
    <w:p w14:paraId="4E31A6F8" w14:textId="6E5C7237"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21695" w:history="1">
        <w:r>
          <w:rPr>
            <w:rFonts w:eastAsia="仿宋_GB2312"/>
            <w:b w:val="0"/>
            <w:bCs/>
            <w:noProof/>
            <w:sz w:val="24"/>
          </w:rPr>
          <w:t>第二节</w:t>
        </w:r>
        <w:r>
          <w:rPr>
            <w:rFonts w:eastAsia="仿宋_GB2312"/>
            <w:b w:val="0"/>
            <w:bCs/>
            <w:noProof/>
            <w:sz w:val="24"/>
          </w:rPr>
          <w:t xml:space="preserve"> </w:t>
        </w:r>
        <w:r>
          <w:rPr>
            <w:rFonts w:eastAsia="仿宋_GB2312"/>
            <w:b w:val="0"/>
            <w:bCs/>
            <w:noProof/>
            <w:sz w:val="24"/>
          </w:rPr>
          <w:t>信息披露一般要求</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_Toc21695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42</w:t>
        </w:r>
        <w:r>
          <w:rPr>
            <w:rFonts w:eastAsia="仿宋_GB2312"/>
            <w:b w:val="0"/>
            <w:bCs/>
            <w:noProof/>
            <w:sz w:val="24"/>
          </w:rPr>
          <w:fldChar w:fldCharType="end"/>
        </w:r>
      </w:hyperlink>
    </w:p>
    <w:p w14:paraId="61DF4831" w14:textId="34077C79"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29603" w:history="1">
        <w:r>
          <w:rPr>
            <w:rFonts w:eastAsia="仿宋_GB2312"/>
            <w:b w:val="0"/>
            <w:bCs/>
            <w:noProof/>
            <w:sz w:val="24"/>
          </w:rPr>
          <w:t>第三节</w:t>
        </w:r>
        <w:r>
          <w:rPr>
            <w:rFonts w:eastAsia="仿宋_GB2312"/>
            <w:b w:val="0"/>
            <w:bCs/>
            <w:noProof/>
            <w:sz w:val="24"/>
          </w:rPr>
          <w:t xml:space="preserve"> </w:t>
        </w:r>
        <w:r>
          <w:rPr>
            <w:rFonts w:eastAsia="仿宋_GB2312"/>
            <w:b w:val="0"/>
            <w:bCs/>
            <w:noProof/>
            <w:sz w:val="24"/>
          </w:rPr>
          <w:t>信息披露监管方式</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_Toc29603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46</w:t>
        </w:r>
        <w:r>
          <w:rPr>
            <w:rFonts w:eastAsia="仿宋_GB2312"/>
            <w:b w:val="0"/>
            <w:bCs/>
            <w:noProof/>
            <w:sz w:val="24"/>
          </w:rPr>
          <w:fldChar w:fldCharType="end"/>
        </w:r>
      </w:hyperlink>
    </w:p>
    <w:p w14:paraId="4DE1604F" w14:textId="52E39D63"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15513" w:history="1">
        <w:r>
          <w:rPr>
            <w:rFonts w:eastAsia="仿宋_GB2312"/>
            <w:b w:val="0"/>
            <w:bCs/>
            <w:noProof/>
            <w:sz w:val="24"/>
          </w:rPr>
          <w:t>第四节</w:t>
        </w:r>
        <w:r>
          <w:rPr>
            <w:rFonts w:eastAsia="仿宋_GB2312"/>
            <w:b w:val="0"/>
            <w:bCs/>
            <w:noProof/>
            <w:sz w:val="24"/>
          </w:rPr>
          <w:t xml:space="preserve"> </w:t>
        </w:r>
        <w:r>
          <w:rPr>
            <w:rFonts w:eastAsia="仿宋_GB2312"/>
            <w:b w:val="0"/>
            <w:bCs/>
            <w:noProof/>
            <w:sz w:val="24"/>
          </w:rPr>
          <w:t>信息披露管理制度</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_Toc15513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47</w:t>
        </w:r>
        <w:r>
          <w:rPr>
            <w:rFonts w:eastAsia="仿宋_GB2312"/>
            <w:b w:val="0"/>
            <w:bCs/>
            <w:noProof/>
            <w:sz w:val="24"/>
          </w:rPr>
          <w:fldChar w:fldCharType="end"/>
        </w:r>
      </w:hyperlink>
    </w:p>
    <w:p w14:paraId="5A388EBD" w14:textId="418D17F9" w:rsidR="000C29B8" w:rsidRDefault="00000000">
      <w:pPr>
        <w:pStyle w:val="TOC1"/>
        <w:tabs>
          <w:tab w:val="clear" w:pos="420"/>
          <w:tab w:val="clear" w:pos="1134"/>
          <w:tab w:val="clear" w:pos="8380"/>
          <w:tab w:val="right" w:leader="dot" w:pos="8312"/>
        </w:tabs>
        <w:snapToGrid w:val="0"/>
        <w:ind w:firstLine="643"/>
        <w:rPr>
          <w:noProof/>
          <w:sz w:val="24"/>
        </w:rPr>
      </w:pPr>
      <w:hyperlink w:anchor="_Toc8838" w:history="1">
        <w:r>
          <w:rPr>
            <w:noProof/>
            <w:sz w:val="24"/>
          </w:rPr>
          <w:t>第六章</w:t>
        </w:r>
        <w:r>
          <w:rPr>
            <w:noProof/>
            <w:sz w:val="24"/>
          </w:rPr>
          <w:t xml:space="preserve"> </w:t>
        </w:r>
        <w:r>
          <w:rPr>
            <w:noProof/>
            <w:sz w:val="24"/>
          </w:rPr>
          <w:t>定期报告</w:t>
        </w:r>
        <w:r>
          <w:rPr>
            <w:noProof/>
            <w:sz w:val="24"/>
          </w:rPr>
          <w:tab/>
        </w:r>
        <w:r>
          <w:rPr>
            <w:noProof/>
            <w:sz w:val="24"/>
          </w:rPr>
          <w:fldChar w:fldCharType="begin"/>
        </w:r>
        <w:r>
          <w:rPr>
            <w:noProof/>
            <w:sz w:val="24"/>
          </w:rPr>
          <w:instrText xml:space="preserve"> PAGEREF _Toc8838 \h </w:instrText>
        </w:r>
        <w:r>
          <w:rPr>
            <w:noProof/>
            <w:sz w:val="24"/>
          </w:rPr>
        </w:r>
        <w:r>
          <w:rPr>
            <w:noProof/>
            <w:sz w:val="24"/>
          </w:rPr>
          <w:fldChar w:fldCharType="separate"/>
        </w:r>
        <w:r w:rsidR="0031662D">
          <w:rPr>
            <w:noProof/>
            <w:sz w:val="24"/>
          </w:rPr>
          <w:t>48</w:t>
        </w:r>
        <w:r>
          <w:rPr>
            <w:noProof/>
            <w:sz w:val="24"/>
          </w:rPr>
          <w:fldChar w:fldCharType="end"/>
        </w:r>
      </w:hyperlink>
    </w:p>
    <w:p w14:paraId="46C8D2E9" w14:textId="6F8332D6"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22852" w:history="1">
        <w:r>
          <w:rPr>
            <w:rFonts w:eastAsia="仿宋_GB2312"/>
            <w:b w:val="0"/>
            <w:bCs/>
            <w:noProof/>
            <w:sz w:val="24"/>
          </w:rPr>
          <w:t>第一节</w:t>
        </w:r>
        <w:r>
          <w:rPr>
            <w:rFonts w:eastAsia="仿宋_GB2312"/>
            <w:b w:val="0"/>
            <w:bCs/>
            <w:noProof/>
            <w:sz w:val="24"/>
          </w:rPr>
          <w:t xml:space="preserve"> </w:t>
        </w:r>
        <w:r>
          <w:rPr>
            <w:rFonts w:eastAsia="仿宋_GB2312"/>
            <w:b w:val="0"/>
            <w:bCs/>
            <w:noProof/>
            <w:sz w:val="24"/>
          </w:rPr>
          <w:t>定期报告编制和披露要求</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_Toc22852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48</w:t>
        </w:r>
        <w:r>
          <w:rPr>
            <w:rFonts w:eastAsia="仿宋_GB2312"/>
            <w:b w:val="0"/>
            <w:bCs/>
            <w:noProof/>
            <w:sz w:val="24"/>
          </w:rPr>
          <w:fldChar w:fldCharType="end"/>
        </w:r>
      </w:hyperlink>
    </w:p>
    <w:p w14:paraId="214FFDDA" w14:textId="638A2BC2"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15017" w:history="1">
        <w:r>
          <w:rPr>
            <w:rFonts w:eastAsia="仿宋_GB2312"/>
            <w:b w:val="0"/>
            <w:bCs/>
            <w:noProof/>
            <w:sz w:val="24"/>
          </w:rPr>
          <w:t>第二节</w:t>
        </w:r>
        <w:r>
          <w:rPr>
            <w:rFonts w:eastAsia="仿宋_GB2312"/>
            <w:b w:val="0"/>
            <w:bCs/>
            <w:noProof/>
            <w:sz w:val="24"/>
          </w:rPr>
          <w:t xml:space="preserve"> </w:t>
        </w:r>
        <w:r>
          <w:rPr>
            <w:rFonts w:eastAsia="仿宋_GB2312"/>
            <w:b w:val="0"/>
            <w:bCs/>
            <w:noProof/>
            <w:sz w:val="24"/>
          </w:rPr>
          <w:t>业绩预告和业绩快报</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_Toc15017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51</w:t>
        </w:r>
        <w:r>
          <w:rPr>
            <w:rFonts w:eastAsia="仿宋_GB2312"/>
            <w:b w:val="0"/>
            <w:bCs/>
            <w:noProof/>
            <w:sz w:val="24"/>
          </w:rPr>
          <w:fldChar w:fldCharType="end"/>
        </w:r>
      </w:hyperlink>
    </w:p>
    <w:p w14:paraId="14CA596F" w14:textId="2822A691" w:rsidR="000C29B8" w:rsidRDefault="00000000">
      <w:pPr>
        <w:pStyle w:val="TOC1"/>
        <w:tabs>
          <w:tab w:val="clear" w:pos="420"/>
          <w:tab w:val="clear" w:pos="1134"/>
          <w:tab w:val="clear" w:pos="8380"/>
          <w:tab w:val="right" w:leader="dot" w:pos="8312"/>
        </w:tabs>
        <w:snapToGrid w:val="0"/>
        <w:ind w:firstLine="643"/>
        <w:rPr>
          <w:noProof/>
          <w:sz w:val="24"/>
        </w:rPr>
      </w:pPr>
      <w:hyperlink w:anchor="_Toc2065" w:history="1">
        <w:r>
          <w:rPr>
            <w:noProof/>
            <w:sz w:val="24"/>
          </w:rPr>
          <w:t>第七章</w:t>
        </w:r>
        <w:r>
          <w:rPr>
            <w:noProof/>
            <w:sz w:val="24"/>
          </w:rPr>
          <w:t xml:space="preserve"> </w:t>
        </w:r>
        <w:r>
          <w:rPr>
            <w:noProof/>
            <w:sz w:val="24"/>
          </w:rPr>
          <w:t>应当披露的交易</w:t>
        </w:r>
        <w:r>
          <w:rPr>
            <w:noProof/>
            <w:sz w:val="24"/>
          </w:rPr>
          <w:tab/>
        </w:r>
        <w:r>
          <w:rPr>
            <w:noProof/>
            <w:sz w:val="24"/>
          </w:rPr>
          <w:fldChar w:fldCharType="begin"/>
        </w:r>
        <w:r>
          <w:rPr>
            <w:noProof/>
            <w:sz w:val="24"/>
          </w:rPr>
          <w:instrText xml:space="preserve"> PAGEREF _Toc2065 \h </w:instrText>
        </w:r>
        <w:r>
          <w:rPr>
            <w:noProof/>
            <w:sz w:val="24"/>
          </w:rPr>
        </w:r>
        <w:r>
          <w:rPr>
            <w:noProof/>
            <w:sz w:val="24"/>
          </w:rPr>
          <w:fldChar w:fldCharType="separate"/>
        </w:r>
        <w:r w:rsidR="0031662D">
          <w:rPr>
            <w:noProof/>
            <w:sz w:val="24"/>
          </w:rPr>
          <w:t>53</w:t>
        </w:r>
        <w:r>
          <w:rPr>
            <w:noProof/>
            <w:sz w:val="24"/>
          </w:rPr>
          <w:fldChar w:fldCharType="end"/>
        </w:r>
      </w:hyperlink>
    </w:p>
    <w:p w14:paraId="31D5A482" w14:textId="4E7BDF92"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965" w:history="1">
        <w:r>
          <w:rPr>
            <w:rFonts w:eastAsia="仿宋_GB2312"/>
            <w:b w:val="0"/>
            <w:bCs/>
            <w:noProof/>
            <w:sz w:val="24"/>
          </w:rPr>
          <w:t>第一节</w:t>
        </w:r>
        <w:r>
          <w:rPr>
            <w:rFonts w:eastAsia="仿宋_GB2312"/>
            <w:b w:val="0"/>
            <w:bCs/>
            <w:noProof/>
            <w:sz w:val="24"/>
          </w:rPr>
          <w:t xml:space="preserve"> </w:t>
        </w:r>
        <w:r>
          <w:rPr>
            <w:rFonts w:eastAsia="仿宋_GB2312"/>
            <w:b w:val="0"/>
            <w:bCs/>
            <w:noProof/>
            <w:sz w:val="24"/>
          </w:rPr>
          <w:t>重大交易</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_Toc965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53</w:t>
        </w:r>
        <w:r>
          <w:rPr>
            <w:rFonts w:eastAsia="仿宋_GB2312"/>
            <w:b w:val="0"/>
            <w:bCs/>
            <w:noProof/>
            <w:sz w:val="24"/>
          </w:rPr>
          <w:fldChar w:fldCharType="end"/>
        </w:r>
      </w:hyperlink>
    </w:p>
    <w:p w14:paraId="6C14D701" w14:textId="36FFAA8B"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31443" w:history="1">
        <w:r>
          <w:rPr>
            <w:rFonts w:eastAsia="仿宋_GB2312"/>
            <w:b w:val="0"/>
            <w:bCs/>
            <w:noProof/>
            <w:sz w:val="24"/>
          </w:rPr>
          <w:t>第二节</w:t>
        </w:r>
        <w:r>
          <w:rPr>
            <w:rFonts w:eastAsia="仿宋_GB2312"/>
            <w:b w:val="0"/>
            <w:bCs/>
            <w:noProof/>
            <w:sz w:val="24"/>
          </w:rPr>
          <w:t xml:space="preserve"> </w:t>
        </w:r>
        <w:r>
          <w:rPr>
            <w:rFonts w:eastAsia="仿宋_GB2312"/>
            <w:b w:val="0"/>
            <w:bCs/>
            <w:noProof/>
            <w:sz w:val="24"/>
          </w:rPr>
          <w:t>关联交易</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_Toc31443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60</w:t>
        </w:r>
        <w:r>
          <w:rPr>
            <w:rFonts w:eastAsia="仿宋_GB2312"/>
            <w:b w:val="0"/>
            <w:bCs/>
            <w:noProof/>
            <w:sz w:val="24"/>
          </w:rPr>
          <w:fldChar w:fldCharType="end"/>
        </w:r>
      </w:hyperlink>
    </w:p>
    <w:p w14:paraId="76894203" w14:textId="54C211CA" w:rsidR="000C29B8" w:rsidRDefault="00000000">
      <w:pPr>
        <w:pStyle w:val="TOC1"/>
        <w:tabs>
          <w:tab w:val="clear" w:pos="420"/>
          <w:tab w:val="clear" w:pos="1134"/>
          <w:tab w:val="clear" w:pos="8380"/>
          <w:tab w:val="right" w:leader="dot" w:pos="8312"/>
        </w:tabs>
        <w:snapToGrid w:val="0"/>
        <w:ind w:firstLine="643"/>
        <w:rPr>
          <w:noProof/>
          <w:sz w:val="24"/>
        </w:rPr>
      </w:pPr>
      <w:hyperlink w:anchor="_Toc21852" w:history="1">
        <w:r>
          <w:rPr>
            <w:noProof/>
            <w:sz w:val="24"/>
          </w:rPr>
          <w:t>第八章</w:t>
        </w:r>
        <w:r>
          <w:rPr>
            <w:noProof/>
            <w:sz w:val="24"/>
          </w:rPr>
          <w:t xml:space="preserve"> </w:t>
        </w:r>
        <w:r>
          <w:rPr>
            <w:noProof/>
            <w:sz w:val="24"/>
          </w:rPr>
          <w:t>应当披露的行业信息和经营风险</w:t>
        </w:r>
        <w:r>
          <w:rPr>
            <w:noProof/>
            <w:sz w:val="24"/>
          </w:rPr>
          <w:tab/>
        </w:r>
        <w:r>
          <w:rPr>
            <w:noProof/>
            <w:sz w:val="24"/>
          </w:rPr>
          <w:fldChar w:fldCharType="begin"/>
        </w:r>
        <w:r>
          <w:rPr>
            <w:noProof/>
            <w:sz w:val="24"/>
          </w:rPr>
          <w:instrText xml:space="preserve"> PAGEREF _Toc21852 \h </w:instrText>
        </w:r>
        <w:r>
          <w:rPr>
            <w:noProof/>
            <w:sz w:val="24"/>
          </w:rPr>
        </w:r>
        <w:r>
          <w:rPr>
            <w:noProof/>
            <w:sz w:val="24"/>
          </w:rPr>
          <w:fldChar w:fldCharType="separate"/>
        </w:r>
        <w:r w:rsidR="0031662D">
          <w:rPr>
            <w:noProof/>
            <w:sz w:val="24"/>
          </w:rPr>
          <w:t>63</w:t>
        </w:r>
        <w:r>
          <w:rPr>
            <w:noProof/>
            <w:sz w:val="24"/>
          </w:rPr>
          <w:fldChar w:fldCharType="end"/>
        </w:r>
      </w:hyperlink>
    </w:p>
    <w:p w14:paraId="0AB668A6" w14:textId="7A63694D"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19480" w:history="1">
        <w:r>
          <w:rPr>
            <w:rFonts w:eastAsia="仿宋_GB2312"/>
            <w:b w:val="0"/>
            <w:bCs/>
            <w:noProof/>
            <w:sz w:val="24"/>
          </w:rPr>
          <w:t>第一节</w:t>
        </w:r>
        <w:r>
          <w:rPr>
            <w:rFonts w:eastAsia="仿宋_GB2312"/>
            <w:b w:val="0"/>
            <w:bCs/>
            <w:noProof/>
            <w:sz w:val="24"/>
          </w:rPr>
          <w:t xml:space="preserve"> </w:t>
        </w:r>
        <w:r>
          <w:rPr>
            <w:rFonts w:eastAsia="仿宋_GB2312"/>
            <w:b w:val="0"/>
            <w:bCs/>
            <w:noProof/>
            <w:sz w:val="24"/>
          </w:rPr>
          <w:t>行业信息</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_Toc19480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63</w:t>
        </w:r>
        <w:r>
          <w:rPr>
            <w:rFonts w:eastAsia="仿宋_GB2312"/>
            <w:b w:val="0"/>
            <w:bCs/>
            <w:noProof/>
            <w:sz w:val="24"/>
          </w:rPr>
          <w:fldChar w:fldCharType="end"/>
        </w:r>
      </w:hyperlink>
    </w:p>
    <w:p w14:paraId="12D97004" w14:textId="7C334171"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17548" w:history="1">
        <w:r>
          <w:rPr>
            <w:rFonts w:eastAsia="仿宋_GB2312"/>
            <w:b w:val="0"/>
            <w:bCs/>
            <w:noProof/>
            <w:sz w:val="24"/>
          </w:rPr>
          <w:t>第二节</w:t>
        </w:r>
        <w:r>
          <w:rPr>
            <w:rFonts w:eastAsia="仿宋_GB2312"/>
            <w:b w:val="0"/>
            <w:bCs/>
            <w:noProof/>
            <w:sz w:val="24"/>
          </w:rPr>
          <w:t xml:space="preserve"> </w:t>
        </w:r>
        <w:r>
          <w:rPr>
            <w:rFonts w:eastAsia="仿宋_GB2312"/>
            <w:b w:val="0"/>
            <w:bCs/>
            <w:noProof/>
            <w:sz w:val="24"/>
          </w:rPr>
          <w:t>经营风险</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_Toc17548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65</w:t>
        </w:r>
        <w:r>
          <w:rPr>
            <w:rFonts w:eastAsia="仿宋_GB2312"/>
            <w:b w:val="0"/>
            <w:bCs/>
            <w:noProof/>
            <w:sz w:val="24"/>
          </w:rPr>
          <w:fldChar w:fldCharType="end"/>
        </w:r>
      </w:hyperlink>
    </w:p>
    <w:p w14:paraId="3AAAF669" w14:textId="1EA2346C" w:rsidR="000C29B8" w:rsidRDefault="00000000">
      <w:pPr>
        <w:pStyle w:val="TOC1"/>
        <w:tabs>
          <w:tab w:val="clear" w:pos="420"/>
          <w:tab w:val="clear" w:pos="1134"/>
          <w:tab w:val="clear" w:pos="8380"/>
          <w:tab w:val="right" w:leader="dot" w:pos="8312"/>
        </w:tabs>
        <w:snapToGrid w:val="0"/>
        <w:ind w:firstLine="643"/>
        <w:rPr>
          <w:noProof/>
          <w:sz w:val="24"/>
        </w:rPr>
      </w:pPr>
      <w:hyperlink w:anchor="_Toc13864" w:history="1">
        <w:r>
          <w:rPr>
            <w:noProof/>
            <w:sz w:val="24"/>
          </w:rPr>
          <w:t>第九章</w:t>
        </w:r>
        <w:r>
          <w:rPr>
            <w:noProof/>
            <w:sz w:val="24"/>
          </w:rPr>
          <w:t xml:space="preserve"> </w:t>
        </w:r>
        <w:r>
          <w:rPr>
            <w:noProof/>
            <w:sz w:val="24"/>
          </w:rPr>
          <w:t>应当披露的其他重大事项</w:t>
        </w:r>
        <w:r>
          <w:rPr>
            <w:noProof/>
            <w:sz w:val="24"/>
          </w:rPr>
          <w:tab/>
        </w:r>
        <w:r>
          <w:rPr>
            <w:noProof/>
            <w:sz w:val="24"/>
          </w:rPr>
          <w:fldChar w:fldCharType="begin"/>
        </w:r>
        <w:r>
          <w:rPr>
            <w:noProof/>
            <w:sz w:val="24"/>
          </w:rPr>
          <w:instrText xml:space="preserve"> PAGEREF _Toc13864 \h </w:instrText>
        </w:r>
        <w:r>
          <w:rPr>
            <w:noProof/>
            <w:sz w:val="24"/>
          </w:rPr>
        </w:r>
        <w:r>
          <w:rPr>
            <w:noProof/>
            <w:sz w:val="24"/>
          </w:rPr>
          <w:fldChar w:fldCharType="separate"/>
        </w:r>
        <w:r w:rsidR="0031662D">
          <w:rPr>
            <w:noProof/>
            <w:sz w:val="24"/>
          </w:rPr>
          <w:t>69</w:t>
        </w:r>
        <w:r>
          <w:rPr>
            <w:noProof/>
            <w:sz w:val="24"/>
          </w:rPr>
          <w:fldChar w:fldCharType="end"/>
        </w:r>
      </w:hyperlink>
    </w:p>
    <w:p w14:paraId="4BBBF362" w14:textId="34797680"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15767" w:history="1">
        <w:r>
          <w:rPr>
            <w:rFonts w:eastAsia="仿宋_GB2312"/>
            <w:b w:val="0"/>
            <w:bCs/>
            <w:noProof/>
            <w:sz w:val="24"/>
          </w:rPr>
          <w:t>第一节</w:t>
        </w:r>
        <w:r>
          <w:rPr>
            <w:rFonts w:eastAsia="仿宋_GB2312"/>
            <w:b w:val="0"/>
            <w:bCs/>
            <w:noProof/>
            <w:sz w:val="24"/>
          </w:rPr>
          <w:t xml:space="preserve"> </w:t>
        </w:r>
        <w:r>
          <w:rPr>
            <w:rFonts w:eastAsia="仿宋_GB2312"/>
            <w:b w:val="0"/>
            <w:bCs/>
            <w:noProof/>
            <w:sz w:val="24"/>
          </w:rPr>
          <w:t>异常波动和传闻澄清</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_Toc15767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69</w:t>
        </w:r>
        <w:r>
          <w:rPr>
            <w:rFonts w:eastAsia="仿宋_GB2312"/>
            <w:b w:val="0"/>
            <w:bCs/>
            <w:noProof/>
            <w:sz w:val="24"/>
          </w:rPr>
          <w:fldChar w:fldCharType="end"/>
        </w:r>
      </w:hyperlink>
    </w:p>
    <w:p w14:paraId="0474DD42" w14:textId="58CF13B9"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2800" w:history="1">
        <w:r>
          <w:rPr>
            <w:rFonts w:eastAsia="仿宋_GB2312"/>
            <w:b w:val="0"/>
            <w:bCs/>
            <w:noProof/>
            <w:sz w:val="24"/>
          </w:rPr>
          <w:t>第二节</w:t>
        </w:r>
        <w:r>
          <w:rPr>
            <w:rFonts w:eastAsia="仿宋_GB2312"/>
            <w:b w:val="0"/>
            <w:bCs/>
            <w:noProof/>
            <w:sz w:val="24"/>
          </w:rPr>
          <w:t xml:space="preserve"> </w:t>
        </w:r>
        <w:r>
          <w:rPr>
            <w:rFonts w:eastAsia="仿宋_GB2312"/>
            <w:b w:val="0"/>
            <w:bCs/>
            <w:noProof/>
            <w:sz w:val="24"/>
          </w:rPr>
          <w:t>股份质押</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_Toc2800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71</w:t>
        </w:r>
        <w:r>
          <w:rPr>
            <w:rFonts w:eastAsia="仿宋_GB2312"/>
            <w:b w:val="0"/>
            <w:bCs/>
            <w:noProof/>
            <w:sz w:val="24"/>
          </w:rPr>
          <w:fldChar w:fldCharType="end"/>
        </w:r>
      </w:hyperlink>
    </w:p>
    <w:p w14:paraId="1258DA9C" w14:textId="528CA250"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20132" w:history="1">
        <w:r>
          <w:rPr>
            <w:rFonts w:eastAsia="仿宋_GB2312"/>
            <w:b w:val="0"/>
            <w:bCs/>
            <w:noProof/>
            <w:sz w:val="24"/>
          </w:rPr>
          <w:t>第三节</w:t>
        </w:r>
        <w:r>
          <w:rPr>
            <w:rFonts w:eastAsia="仿宋_GB2312"/>
            <w:b w:val="0"/>
            <w:bCs/>
            <w:noProof/>
            <w:sz w:val="24"/>
          </w:rPr>
          <w:t xml:space="preserve"> </w:t>
        </w:r>
        <w:r>
          <w:rPr>
            <w:rFonts w:eastAsia="仿宋_GB2312"/>
            <w:b w:val="0"/>
            <w:bCs/>
            <w:noProof/>
            <w:sz w:val="24"/>
          </w:rPr>
          <w:t>其他</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_Toc20132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72</w:t>
        </w:r>
        <w:r>
          <w:rPr>
            <w:rFonts w:eastAsia="仿宋_GB2312"/>
            <w:b w:val="0"/>
            <w:bCs/>
            <w:noProof/>
            <w:sz w:val="24"/>
          </w:rPr>
          <w:fldChar w:fldCharType="end"/>
        </w:r>
      </w:hyperlink>
    </w:p>
    <w:p w14:paraId="75C75DE6" w14:textId="5619FD7E" w:rsidR="000C29B8" w:rsidRDefault="00000000">
      <w:pPr>
        <w:pStyle w:val="TOC1"/>
        <w:tabs>
          <w:tab w:val="clear" w:pos="420"/>
          <w:tab w:val="clear" w:pos="1134"/>
          <w:tab w:val="clear" w:pos="8380"/>
          <w:tab w:val="right" w:leader="dot" w:pos="8312"/>
        </w:tabs>
        <w:snapToGrid w:val="0"/>
        <w:ind w:firstLine="643"/>
        <w:rPr>
          <w:noProof/>
          <w:sz w:val="24"/>
        </w:rPr>
      </w:pPr>
      <w:hyperlink w:anchor="_Toc15423" w:history="1">
        <w:r>
          <w:rPr>
            <w:noProof/>
            <w:sz w:val="24"/>
          </w:rPr>
          <w:t>第十章</w:t>
        </w:r>
        <w:r>
          <w:rPr>
            <w:noProof/>
            <w:sz w:val="24"/>
          </w:rPr>
          <w:t xml:space="preserve"> </w:t>
        </w:r>
        <w:r>
          <w:rPr>
            <w:noProof/>
            <w:sz w:val="24"/>
          </w:rPr>
          <w:t>股权激励</w:t>
        </w:r>
        <w:r>
          <w:rPr>
            <w:noProof/>
            <w:sz w:val="24"/>
          </w:rPr>
          <w:tab/>
        </w:r>
        <w:r>
          <w:rPr>
            <w:noProof/>
            <w:sz w:val="24"/>
          </w:rPr>
          <w:fldChar w:fldCharType="begin"/>
        </w:r>
        <w:r>
          <w:rPr>
            <w:noProof/>
            <w:sz w:val="24"/>
          </w:rPr>
          <w:instrText xml:space="preserve"> PAGEREF _Toc15423 \h </w:instrText>
        </w:r>
        <w:r>
          <w:rPr>
            <w:noProof/>
            <w:sz w:val="24"/>
          </w:rPr>
        </w:r>
        <w:r>
          <w:rPr>
            <w:noProof/>
            <w:sz w:val="24"/>
          </w:rPr>
          <w:fldChar w:fldCharType="separate"/>
        </w:r>
        <w:r w:rsidR="0031662D">
          <w:rPr>
            <w:noProof/>
            <w:sz w:val="24"/>
          </w:rPr>
          <w:t>74</w:t>
        </w:r>
        <w:r>
          <w:rPr>
            <w:noProof/>
            <w:sz w:val="24"/>
          </w:rPr>
          <w:fldChar w:fldCharType="end"/>
        </w:r>
      </w:hyperlink>
    </w:p>
    <w:p w14:paraId="7C6A287A" w14:textId="223FD371" w:rsidR="000C29B8" w:rsidRDefault="00000000">
      <w:pPr>
        <w:pStyle w:val="TOC1"/>
        <w:tabs>
          <w:tab w:val="clear" w:pos="420"/>
          <w:tab w:val="clear" w:pos="1134"/>
          <w:tab w:val="clear" w:pos="8380"/>
          <w:tab w:val="right" w:leader="dot" w:pos="8312"/>
        </w:tabs>
        <w:snapToGrid w:val="0"/>
        <w:ind w:firstLine="643"/>
        <w:rPr>
          <w:noProof/>
          <w:sz w:val="24"/>
        </w:rPr>
      </w:pPr>
      <w:hyperlink w:anchor="_Toc21884" w:history="1">
        <w:r>
          <w:rPr>
            <w:noProof/>
            <w:sz w:val="24"/>
          </w:rPr>
          <w:t>第十一章</w:t>
        </w:r>
        <w:r>
          <w:rPr>
            <w:noProof/>
            <w:sz w:val="24"/>
          </w:rPr>
          <w:t xml:space="preserve"> </w:t>
        </w:r>
        <w:r>
          <w:rPr>
            <w:noProof/>
            <w:sz w:val="24"/>
          </w:rPr>
          <w:t>重大资产重组</w:t>
        </w:r>
        <w:r>
          <w:rPr>
            <w:noProof/>
            <w:sz w:val="24"/>
          </w:rPr>
          <w:tab/>
        </w:r>
        <w:r>
          <w:rPr>
            <w:noProof/>
            <w:sz w:val="24"/>
          </w:rPr>
          <w:fldChar w:fldCharType="begin"/>
        </w:r>
        <w:r>
          <w:rPr>
            <w:noProof/>
            <w:sz w:val="24"/>
          </w:rPr>
          <w:instrText xml:space="preserve"> PAGEREF _Toc21884 \h </w:instrText>
        </w:r>
        <w:r>
          <w:rPr>
            <w:noProof/>
            <w:sz w:val="24"/>
          </w:rPr>
        </w:r>
        <w:r>
          <w:rPr>
            <w:noProof/>
            <w:sz w:val="24"/>
          </w:rPr>
          <w:fldChar w:fldCharType="separate"/>
        </w:r>
        <w:r w:rsidR="0031662D">
          <w:rPr>
            <w:noProof/>
            <w:sz w:val="24"/>
          </w:rPr>
          <w:t>76</w:t>
        </w:r>
        <w:r>
          <w:rPr>
            <w:noProof/>
            <w:sz w:val="24"/>
          </w:rPr>
          <w:fldChar w:fldCharType="end"/>
        </w:r>
      </w:hyperlink>
    </w:p>
    <w:p w14:paraId="0F9FCE21" w14:textId="73E543C0" w:rsidR="000C29B8" w:rsidRDefault="00000000">
      <w:pPr>
        <w:pStyle w:val="TOC1"/>
        <w:tabs>
          <w:tab w:val="clear" w:pos="420"/>
          <w:tab w:val="clear" w:pos="1134"/>
          <w:tab w:val="clear" w:pos="8380"/>
          <w:tab w:val="right" w:leader="dot" w:pos="8312"/>
        </w:tabs>
        <w:snapToGrid w:val="0"/>
        <w:ind w:firstLine="643"/>
        <w:rPr>
          <w:noProof/>
          <w:sz w:val="24"/>
        </w:rPr>
      </w:pPr>
      <w:hyperlink w:anchor="_Toc32517" w:history="1">
        <w:r>
          <w:rPr>
            <w:noProof/>
            <w:sz w:val="24"/>
          </w:rPr>
          <w:t>第十二章</w:t>
        </w:r>
        <w:r>
          <w:rPr>
            <w:noProof/>
            <w:sz w:val="24"/>
          </w:rPr>
          <w:t xml:space="preserve"> </w:t>
        </w:r>
        <w:r>
          <w:rPr>
            <w:noProof/>
            <w:sz w:val="24"/>
          </w:rPr>
          <w:t>退市与风险警示</w:t>
        </w:r>
        <w:r>
          <w:rPr>
            <w:noProof/>
            <w:sz w:val="24"/>
          </w:rPr>
          <w:tab/>
        </w:r>
        <w:r>
          <w:rPr>
            <w:noProof/>
            <w:sz w:val="24"/>
          </w:rPr>
          <w:fldChar w:fldCharType="begin"/>
        </w:r>
        <w:r>
          <w:rPr>
            <w:noProof/>
            <w:sz w:val="24"/>
          </w:rPr>
          <w:instrText xml:space="preserve"> PAGEREF _Toc32517 \h </w:instrText>
        </w:r>
        <w:r>
          <w:rPr>
            <w:noProof/>
            <w:sz w:val="24"/>
          </w:rPr>
        </w:r>
        <w:r>
          <w:rPr>
            <w:noProof/>
            <w:sz w:val="24"/>
          </w:rPr>
          <w:fldChar w:fldCharType="separate"/>
        </w:r>
        <w:r w:rsidR="0031662D">
          <w:rPr>
            <w:noProof/>
            <w:sz w:val="24"/>
          </w:rPr>
          <w:t>77</w:t>
        </w:r>
        <w:r>
          <w:rPr>
            <w:noProof/>
            <w:sz w:val="24"/>
          </w:rPr>
          <w:fldChar w:fldCharType="end"/>
        </w:r>
      </w:hyperlink>
    </w:p>
    <w:p w14:paraId="00B37A92" w14:textId="599DCFC4"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4188" w:history="1">
        <w:r>
          <w:rPr>
            <w:rFonts w:eastAsia="仿宋_GB2312"/>
            <w:b w:val="0"/>
            <w:bCs/>
            <w:noProof/>
            <w:sz w:val="24"/>
          </w:rPr>
          <w:t>第一节</w:t>
        </w:r>
        <w:r>
          <w:rPr>
            <w:rFonts w:eastAsia="仿宋_GB2312"/>
            <w:b w:val="0"/>
            <w:bCs/>
            <w:noProof/>
            <w:sz w:val="24"/>
          </w:rPr>
          <w:t xml:space="preserve">  </w:t>
        </w:r>
        <w:r>
          <w:rPr>
            <w:rFonts w:eastAsia="仿宋_GB2312"/>
            <w:b w:val="0"/>
            <w:bCs/>
            <w:noProof/>
            <w:sz w:val="24"/>
          </w:rPr>
          <w:t>一般规定</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_Toc4188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77</w:t>
        </w:r>
        <w:r>
          <w:rPr>
            <w:rFonts w:eastAsia="仿宋_GB2312"/>
            <w:b w:val="0"/>
            <w:bCs/>
            <w:noProof/>
            <w:sz w:val="24"/>
          </w:rPr>
          <w:fldChar w:fldCharType="end"/>
        </w:r>
      </w:hyperlink>
    </w:p>
    <w:p w14:paraId="0071D775" w14:textId="3E49FC09"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10610" w:history="1">
        <w:r>
          <w:rPr>
            <w:rFonts w:eastAsia="仿宋_GB2312"/>
            <w:b w:val="0"/>
            <w:bCs/>
            <w:noProof/>
            <w:sz w:val="24"/>
          </w:rPr>
          <w:t>第二节</w:t>
        </w:r>
        <w:r>
          <w:rPr>
            <w:rFonts w:eastAsia="仿宋_GB2312"/>
            <w:b w:val="0"/>
            <w:bCs/>
            <w:noProof/>
            <w:sz w:val="24"/>
          </w:rPr>
          <w:t xml:space="preserve">  </w:t>
        </w:r>
        <w:r>
          <w:rPr>
            <w:rFonts w:eastAsia="仿宋_GB2312"/>
            <w:b w:val="0"/>
            <w:bCs/>
            <w:noProof/>
            <w:sz w:val="24"/>
          </w:rPr>
          <w:t>重大违法强制退市</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_Toc10610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80</w:t>
        </w:r>
        <w:r>
          <w:rPr>
            <w:rFonts w:eastAsia="仿宋_GB2312"/>
            <w:b w:val="0"/>
            <w:bCs/>
            <w:noProof/>
            <w:sz w:val="24"/>
          </w:rPr>
          <w:fldChar w:fldCharType="end"/>
        </w:r>
      </w:hyperlink>
    </w:p>
    <w:p w14:paraId="2A63619F" w14:textId="73980D78"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21001" w:history="1">
        <w:r>
          <w:rPr>
            <w:rFonts w:eastAsia="仿宋_GB2312"/>
            <w:b w:val="0"/>
            <w:bCs/>
            <w:noProof/>
            <w:sz w:val="24"/>
          </w:rPr>
          <w:t>第三节</w:t>
        </w:r>
        <w:r>
          <w:rPr>
            <w:rFonts w:eastAsia="仿宋_GB2312"/>
            <w:b w:val="0"/>
            <w:bCs/>
            <w:noProof/>
            <w:sz w:val="24"/>
          </w:rPr>
          <w:t xml:space="preserve">  </w:t>
        </w:r>
        <w:r>
          <w:rPr>
            <w:rFonts w:eastAsia="仿宋_GB2312"/>
            <w:b w:val="0"/>
            <w:bCs/>
            <w:noProof/>
            <w:sz w:val="24"/>
          </w:rPr>
          <w:t>交易类强制退市</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_Toc21001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86</w:t>
        </w:r>
        <w:r>
          <w:rPr>
            <w:rFonts w:eastAsia="仿宋_GB2312"/>
            <w:b w:val="0"/>
            <w:bCs/>
            <w:noProof/>
            <w:sz w:val="24"/>
          </w:rPr>
          <w:fldChar w:fldCharType="end"/>
        </w:r>
      </w:hyperlink>
    </w:p>
    <w:p w14:paraId="41A4E5FE" w14:textId="1D9A292C"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11050" w:history="1">
        <w:r>
          <w:rPr>
            <w:rFonts w:eastAsia="仿宋_GB2312"/>
            <w:b w:val="0"/>
            <w:bCs/>
            <w:noProof/>
            <w:sz w:val="24"/>
          </w:rPr>
          <w:t>第四节</w:t>
        </w:r>
        <w:r>
          <w:rPr>
            <w:rFonts w:eastAsia="仿宋_GB2312"/>
            <w:b w:val="0"/>
            <w:bCs/>
            <w:noProof/>
            <w:sz w:val="24"/>
          </w:rPr>
          <w:t xml:space="preserve">  </w:t>
        </w:r>
        <w:r>
          <w:rPr>
            <w:rFonts w:eastAsia="仿宋_GB2312"/>
            <w:b w:val="0"/>
            <w:bCs/>
            <w:noProof/>
            <w:sz w:val="24"/>
          </w:rPr>
          <w:t>财务类强制退市</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_Toc11050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90</w:t>
        </w:r>
        <w:r>
          <w:rPr>
            <w:rFonts w:eastAsia="仿宋_GB2312"/>
            <w:b w:val="0"/>
            <w:bCs/>
            <w:noProof/>
            <w:sz w:val="24"/>
          </w:rPr>
          <w:fldChar w:fldCharType="end"/>
        </w:r>
      </w:hyperlink>
    </w:p>
    <w:p w14:paraId="6E180891" w14:textId="1C4E0F83"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23495" w:history="1">
        <w:r>
          <w:rPr>
            <w:rFonts w:eastAsia="仿宋_GB2312"/>
            <w:b w:val="0"/>
            <w:bCs/>
            <w:noProof/>
            <w:sz w:val="24"/>
          </w:rPr>
          <w:t>第五节</w:t>
        </w:r>
        <w:r>
          <w:rPr>
            <w:rFonts w:eastAsia="仿宋_GB2312"/>
            <w:b w:val="0"/>
            <w:bCs/>
            <w:noProof/>
            <w:sz w:val="24"/>
          </w:rPr>
          <w:t xml:space="preserve">  </w:t>
        </w:r>
        <w:r>
          <w:rPr>
            <w:rFonts w:eastAsia="仿宋_GB2312"/>
            <w:b w:val="0"/>
            <w:bCs/>
            <w:noProof/>
            <w:sz w:val="24"/>
          </w:rPr>
          <w:t>规范类强制退市</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_Toc23495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100</w:t>
        </w:r>
        <w:r>
          <w:rPr>
            <w:rFonts w:eastAsia="仿宋_GB2312"/>
            <w:b w:val="0"/>
            <w:bCs/>
            <w:noProof/>
            <w:sz w:val="24"/>
          </w:rPr>
          <w:fldChar w:fldCharType="end"/>
        </w:r>
      </w:hyperlink>
    </w:p>
    <w:p w14:paraId="2B0D892E" w14:textId="07B99403"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14307" w:history="1">
        <w:r>
          <w:rPr>
            <w:rFonts w:eastAsia="仿宋_GB2312"/>
            <w:b w:val="0"/>
            <w:bCs/>
            <w:noProof/>
            <w:sz w:val="24"/>
          </w:rPr>
          <w:t>第六节</w:t>
        </w:r>
        <w:r>
          <w:rPr>
            <w:rFonts w:eastAsia="仿宋_GB2312"/>
            <w:b w:val="0"/>
            <w:bCs/>
            <w:noProof/>
            <w:sz w:val="24"/>
          </w:rPr>
          <w:t xml:space="preserve">  </w:t>
        </w:r>
        <w:r>
          <w:rPr>
            <w:rFonts w:eastAsia="仿宋_GB2312"/>
            <w:b w:val="0"/>
            <w:bCs/>
            <w:noProof/>
            <w:sz w:val="24"/>
          </w:rPr>
          <w:t>听证与复核</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_Toc14307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109</w:t>
        </w:r>
        <w:r>
          <w:rPr>
            <w:rFonts w:eastAsia="仿宋_GB2312"/>
            <w:b w:val="0"/>
            <w:bCs/>
            <w:noProof/>
            <w:sz w:val="24"/>
          </w:rPr>
          <w:fldChar w:fldCharType="end"/>
        </w:r>
      </w:hyperlink>
    </w:p>
    <w:p w14:paraId="41546FC5" w14:textId="0425AE01"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13292" w:history="1">
        <w:r>
          <w:rPr>
            <w:rFonts w:eastAsia="仿宋_GB2312"/>
            <w:b w:val="0"/>
            <w:bCs/>
            <w:noProof/>
            <w:sz w:val="24"/>
          </w:rPr>
          <w:t>第七节</w:t>
        </w:r>
        <w:r>
          <w:rPr>
            <w:rFonts w:eastAsia="仿宋_GB2312"/>
            <w:b w:val="0"/>
            <w:bCs/>
            <w:noProof/>
            <w:sz w:val="24"/>
          </w:rPr>
          <w:t xml:space="preserve">  </w:t>
        </w:r>
        <w:r>
          <w:rPr>
            <w:rFonts w:eastAsia="仿宋_GB2312"/>
            <w:b w:val="0"/>
            <w:bCs/>
            <w:noProof/>
            <w:sz w:val="24"/>
          </w:rPr>
          <w:t>退市整理期</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_Toc13292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112</w:t>
        </w:r>
        <w:r>
          <w:rPr>
            <w:rFonts w:eastAsia="仿宋_GB2312"/>
            <w:b w:val="0"/>
            <w:bCs/>
            <w:noProof/>
            <w:sz w:val="24"/>
          </w:rPr>
          <w:fldChar w:fldCharType="end"/>
        </w:r>
      </w:hyperlink>
    </w:p>
    <w:p w14:paraId="5F50AC09" w14:textId="1B11301C"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16422" w:history="1">
        <w:r>
          <w:rPr>
            <w:rFonts w:eastAsia="仿宋_GB2312"/>
            <w:b w:val="0"/>
            <w:bCs/>
            <w:noProof/>
            <w:sz w:val="24"/>
          </w:rPr>
          <w:t>第八节</w:t>
        </w:r>
        <w:r>
          <w:rPr>
            <w:rFonts w:eastAsia="仿宋_GB2312"/>
            <w:b w:val="0"/>
            <w:bCs/>
            <w:noProof/>
            <w:sz w:val="24"/>
          </w:rPr>
          <w:t xml:space="preserve">  </w:t>
        </w:r>
        <w:r>
          <w:rPr>
            <w:rFonts w:eastAsia="仿宋_GB2312"/>
            <w:b w:val="0"/>
            <w:bCs/>
            <w:noProof/>
            <w:sz w:val="24"/>
          </w:rPr>
          <w:t>主动终止上市</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_Toc16422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114</w:t>
        </w:r>
        <w:r>
          <w:rPr>
            <w:rFonts w:eastAsia="仿宋_GB2312"/>
            <w:b w:val="0"/>
            <w:bCs/>
            <w:noProof/>
            <w:sz w:val="24"/>
          </w:rPr>
          <w:fldChar w:fldCharType="end"/>
        </w:r>
      </w:hyperlink>
    </w:p>
    <w:p w14:paraId="34E4BC72" w14:textId="7AEAF443"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17956" w:history="1">
        <w:r>
          <w:rPr>
            <w:rFonts w:eastAsia="仿宋_GB2312"/>
            <w:b w:val="0"/>
            <w:bCs/>
            <w:noProof/>
            <w:sz w:val="24"/>
          </w:rPr>
          <w:t>第九节</w:t>
        </w:r>
        <w:r>
          <w:rPr>
            <w:rFonts w:eastAsia="仿宋_GB2312"/>
            <w:b w:val="0"/>
            <w:bCs/>
            <w:noProof/>
            <w:sz w:val="24"/>
          </w:rPr>
          <w:t xml:space="preserve">  </w:t>
        </w:r>
        <w:r>
          <w:rPr>
            <w:rFonts w:eastAsia="仿宋_GB2312"/>
            <w:b w:val="0"/>
            <w:bCs/>
            <w:noProof/>
            <w:sz w:val="24"/>
          </w:rPr>
          <w:t>其他风险警示</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_Toc17956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119</w:t>
        </w:r>
        <w:r>
          <w:rPr>
            <w:rFonts w:eastAsia="仿宋_GB2312"/>
            <w:b w:val="0"/>
            <w:bCs/>
            <w:noProof/>
            <w:sz w:val="24"/>
          </w:rPr>
          <w:fldChar w:fldCharType="end"/>
        </w:r>
      </w:hyperlink>
    </w:p>
    <w:p w14:paraId="461E3FD3" w14:textId="37062300"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28953" w:history="1">
        <w:r>
          <w:rPr>
            <w:rFonts w:eastAsia="仿宋_GB2312"/>
            <w:b w:val="0"/>
            <w:bCs/>
            <w:noProof/>
            <w:sz w:val="24"/>
          </w:rPr>
          <w:t>第十节</w:t>
        </w:r>
        <w:r>
          <w:rPr>
            <w:rFonts w:eastAsia="仿宋_GB2312"/>
            <w:b w:val="0"/>
            <w:bCs/>
            <w:noProof/>
            <w:sz w:val="24"/>
          </w:rPr>
          <w:t xml:space="preserve">  </w:t>
        </w:r>
        <w:r>
          <w:rPr>
            <w:rFonts w:eastAsia="仿宋_GB2312"/>
            <w:b w:val="0"/>
            <w:bCs/>
            <w:noProof/>
            <w:sz w:val="24"/>
          </w:rPr>
          <w:t>再次上市</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_Toc28953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125</w:t>
        </w:r>
        <w:r>
          <w:rPr>
            <w:rFonts w:eastAsia="仿宋_GB2312"/>
            <w:b w:val="0"/>
            <w:bCs/>
            <w:noProof/>
            <w:sz w:val="24"/>
          </w:rPr>
          <w:fldChar w:fldCharType="end"/>
        </w:r>
      </w:hyperlink>
    </w:p>
    <w:p w14:paraId="11835666" w14:textId="384B6AC0" w:rsidR="000C29B8" w:rsidRDefault="00000000">
      <w:pPr>
        <w:pStyle w:val="TOC1"/>
        <w:tabs>
          <w:tab w:val="clear" w:pos="420"/>
          <w:tab w:val="clear" w:pos="1134"/>
          <w:tab w:val="clear" w:pos="8380"/>
          <w:tab w:val="right" w:leader="dot" w:pos="8312"/>
        </w:tabs>
        <w:snapToGrid w:val="0"/>
        <w:ind w:firstLine="643"/>
        <w:rPr>
          <w:noProof/>
          <w:sz w:val="24"/>
        </w:rPr>
      </w:pPr>
      <w:hyperlink w:anchor="_Toc17049" w:history="1">
        <w:r>
          <w:rPr>
            <w:noProof/>
            <w:sz w:val="24"/>
          </w:rPr>
          <w:t>第十三章</w:t>
        </w:r>
        <w:r>
          <w:rPr>
            <w:noProof/>
            <w:sz w:val="24"/>
          </w:rPr>
          <w:t xml:space="preserve"> </w:t>
        </w:r>
        <w:r>
          <w:rPr>
            <w:noProof/>
            <w:sz w:val="24"/>
          </w:rPr>
          <w:t>红筹企业和境内外事项的协调</w:t>
        </w:r>
        <w:r>
          <w:rPr>
            <w:noProof/>
            <w:sz w:val="24"/>
          </w:rPr>
          <w:tab/>
        </w:r>
        <w:r>
          <w:rPr>
            <w:noProof/>
            <w:sz w:val="24"/>
          </w:rPr>
          <w:fldChar w:fldCharType="begin"/>
        </w:r>
        <w:r>
          <w:rPr>
            <w:noProof/>
            <w:sz w:val="24"/>
          </w:rPr>
          <w:instrText xml:space="preserve"> PAGEREF _Toc17049 \h </w:instrText>
        </w:r>
        <w:r>
          <w:rPr>
            <w:noProof/>
            <w:sz w:val="24"/>
          </w:rPr>
        </w:r>
        <w:r>
          <w:rPr>
            <w:noProof/>
            <w:sz w:val="24"/>
          </w:rPr>
          <w:fldChar w:fldCharType="separate"/>
        </w:r>
        <w:r w:rsidR="0031662D">
          <w:rPr>
            <w:noProof/>
            <w:sz w:val="24"/>
          </w:rPr>
          <w:t>127</w:t>
        </w:r>
        <w:r>
          <w:rPr>
            <w:noProof/>
            <w:sz w:val="24"/>
          </w:rPr>
          <w:fldChar w:fldCharType="end"/>
        </w:r>
      </w:hyperlink>
    </w:p>
    <w:p w14:paraId="76964B3D" w14:textId="6AA74A76"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31599" w:history="1">
        <w:r>
          <w:rPr>
            <w:rFonts w:eastAsia="仿宋_GB2312"/>
            <w:b w:val="0"/>
            <w:bCs/>
            <w:noProof/>
            <w:sz w:val="24"/>
          </w:rPr>
          <w:t>第一节</w:t>
        </w:r>
        <w:r>
          <w:rPr>
            <w:rFonts w:eastAsia="仿宋_GB2312"/>
            <w:b w:val="0"/>
            <w:bCs/>
            <w:noProof/>
            <w:sz w:val="24"/>
          </w:rPr>
          <w:t xml:space="preserve"> </w:t>
        </w:r>
        <w:r>
          <w:rPr>
            <w:rFonts w:eastAsia="仿宋_GB2312"/>
            <w:b w:val="0"/>
            <w:bCs/>
            <w:noProof/>
            <w:sz w:val="24"/>
          </w:rPr>
          <w:t>红筹企业特别规定</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_Toc31599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127</w:t>
        </w:r>
        <w:r>
          <w:rPr>
            <w:rFonts w:eastAsia="仿宋_GB2312"/>
            <w:b w:val="0"/>
            <w:bCs/>
            <w:noProof/>
            <w:sz w:val="24"/>
          </w:rPr>
          <w:fldChar w:fldCharType="end"/>
        </w:r>
      </w:hyperlink>
    </w:p>
    <w:p w14:paraId="7ED1483C" w14:textId="2B4FB37A"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7070" w:history="1">
        <w:r>
          <w:rPr>
            <w:rFonts w:eastAsia="仿宋_GB2312"/>
            <w:b w:val="0"/>
            <w:bCs/>
            <w:noProof/>
            <w:sz w:val="24"/>
          </w:rPr>
          <w:t>第二节</w:t>
        </w:r>
        <w:r>
          <w:rPr>
            <w:rFonts w:eastAsia="仿宋_GB2312"/>
            <w:b w:val="0"/>
            <w:bCs/>
            <w:noProof/>
            <w:sz w:val="24"/>
          </w:rPr>
          <w:t xml:space="preserve"> </w:t>
        </w:r>
        <w:r>
          <w:rPr>
            <w:rFonts w:eastAsia="仿宋_GB2312"/>
            <w:b w:val="0"/>
            <w:bCs/>
            <w:noProof/>
            <w:sz w:val="24"/>
          </w:rPr>
          <w:t>境内外事项的协调</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_Toc7070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130</w:t>
        </w:r>
        <w:r>
          <w:rPr>
            <w:rFonts w:eastAsia="仿宋_GB2312"/>
            <w:b w:val="0"/>
            <w:bCs/>
            <w:noProof/>
            <w:sz w:val="24"/>
          </w:rPr>
          <w:fldChar w:fldCharType="end"/>
        </w:r>
      </w:hyperlink>
    </w:p>
    <w:p w14:paraId="3DCD2759" w14:textId="42328C9C" w:rsidR="000C29B8" w:rsidRDefault="00000000">
      <w:pPr>
        <w:pStyle w:val="TOC1"/>
        <w:tabs>
          <w:tab w:val="clear" w:pos="420"/>
          <w:tab w:val="clear" w:pos="1134"/>
          <w:tab w:val="clear" w:pos="8380"/>
          <w:tab w:val="right" w:leader="dot" w:pos="8312"/>
        </w:tabs>
        <w:snapToGrid w:val="0"/>
        <w:ind w:firstLine="643"/>
        <w:rPr>
          <w:noProof/>
          <w:sz w:val="24"/>
        </w:rPr>
      </w:pPr>
      <w:hyperlink w:anchor="_Toc8942" w:history="1">
        <w:r>
          <w:rPr>
            <w:noProof/>
            <w:sz w:val="24"/>
          </w:rPr>
          <w:t>第十四章</w:t>
        </w:r>
        <w:r>
          <w:rPr>
            <w:noProof/>
            <w:sz w:val="24"/>
          </w:rPr>
          <w:t xml:space="preserve"> </w:t>
        </w:r>
        <w:r>
          <w:rPr>
            <w:noProof/>
            <w:sz w:val="24"/>
          </w:rPr>
          <w:t>日常监管和违反本规则的处理</w:t>
        </w:r>
        <w:r>
          <w:rPr>
            <w:noProof/>
            <w:sz w:val="24"/>
          </w:rPr>
          <w:tab/>
        </w:r>
        <w:r>
          <w:rPr>
            <w:noProof/>
            <w:sz w:val="24"/>
          </w:rPr>
          <w:fldChar w:fldCharType="begin"/>
        </w:r>
        <w:r>
          <w:rPr>
            <w:noProof/>
            <w:sz w:val="24"/>
          </w:rPr>
          <w:instrText xml:space="preserve"> PAGEREF _Toc8942 \h </w:instrText>
        </w:r>
        <w:r>
          <w:rPr>
            <w:noProof/>
            <w:sz w:val="24"/>
          </w:rPr>
        </w:r>
        <w:r>
          <w:rPr>
            <w:noProof/>
            <w:sz w:val="24"/>
          </w:rPr>
          <w:fldChar w:fldCharType="separate"/>
        </w:r>
        <w:r w:rsidR="0031662D">
          <w:rPr>
            <w:noProof/>
            <w:sz w:val="24"/>
          </w:rPr>
          <w:t>131</w:t>
        </w:r>
        <w:r>
          <w:rPr>
            <w:noProof/>
            <w:sz w:val="24"/>
          </w:rPr>
          <w:fldChar w:fldCharType="end"/>
        </w:r>
      </w:hyperlink>
    </w:p>
    <w:p w14:paraId="026B5D6C" w14:textId="08D8D5FD"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15769" w:history="1">
        <w:r>
          <w:rPr>
            <w:rFonts w:eastAsia="仿宋_GB2312"/>
            <w:b w:val="0"/>
            <w:bCs/>
            <w:noProof/>
            <w:sz w:val="24"/>
          </w:rPr>
          <w:t>第一节</w:t>
        </w:r>
        <w:r>
          <w:rPr>
            <w:rFonts w:eastAsia="仿宋_GB2312"/>
            <w:b w:val="0"/>
            <w:bCs/>
            <w:noProof/>
            <w:sz w:val="24"/>
          </w:rPr>
          <w:t xml:space="preserve"> </w:t>
        </w:r>
        <w:r>
          <w:rPr>
            <w:rFonts w:eastAsia="仿宋_GB2312"/>
            <w:b w:val="0"/>
            <w:bCs/>
            <w:noProof/>
            <w:sz w:val="24"/>
          </w:rPr>
          <w:t>日常监管</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_Toc15769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131</w:t>
        </w:r>
        <w:r>
          <w:rPr>
            <w:rFonts w:eastAsia="仿宋_GB2312"/>
            <w:b w:val="0"/>
            <w:bCs/>
            <w:noProof/>
            <w:sz w:val="24"/>
          </w:rPr>
          <w:fldChar w:fldCharType="end"/>
        </w:r>
      </w:hyperlink>
    </w:p>
    <w:p w14:paraId="6BEBB4C6" w14:textId="15EE9300" w:rsidR="000C29B8" w:rsidRDefault="00000000">
      <w:pPr>
        <w:pStyle w:val="TOC2"/>
        <w:tabs>
          <w:tab w:val="clear" w:pos="1276"/>
          <w:tab w:val="clear" w:pos="8380"/>
          <w:tab w:val="right" w:leader="dot" w:pos="8312"/>
        </w:tabs>
        <w:snapToGrid w:val="0"/>
        <w:ind w:leftChars="200" w:left="420" w:firstLine="643"/>
        <w:rPr>
          <w:rFonts w:eastAsia="仿宋_GB2312"/>
          <w:b w:val="0"/>
          <w:bCs/>
          <w:noProof/>
          <w:sz w:val="24"/>
        </w:rPr>
      </w:pPr>
      <w:hyperlink w:anchor="_Toc25397" w:history="1">
        <w:r>
          <w:rPr>
            <w:rFonts w:eastAsia="仿宋_GB2312"/>
            <w:b w:val="0"/>
            <w:bCs/>
            <w:noProof/>
            <w:sz w:val="24"/>
          </w:rPr>
          <w:t>第二节</w:t>
        </w:r>
        <w:r>
          <w:rPr>
            <w:rFonts w:eastAsia="仿宋_GB2312"/>
            <w:b w:val="0"/>
            <w:bCs/>
            <w:noProof/>
            <w:sz w:val="24"/>
          </w:rPr>
          <w:t xml:space="preserve"> </w:t>
        </w:r>
        <w:r>
          <w:rPr>
            <w:rFonts w:eastAsia="仿宋_GB2312"/>
            <w:b w:val="0"/>
            <w:bCs/>
            <w:noProof/>
            <w:sz w:val="24"/>
          </w:rPr>
          <w:t>违反本规则的处理</w:t>
        </w:r>
        <w:r>
          <w:rPr>
            <w:rFonts w:eastAsia="仿宋_GB2312"/>
            <w:b w:val="0"/>
            <w:bCs/>
            <w:noProof/>
            <w:sz w:val="24"/>
          </w:rPr>
          <w:tab/>
        </w:r>
        <w:r>
          <w:rPr>
            <w:rFonts w:eastAsia="仿宋_GB2312"/>
            <w:b w:val="0"/>
            <w:bCs/>
            <w:noProof/>
            <w:sz w:val="24"/>
          </w:rPr>
          <w:fldChar w:fldCharType="begin"/>
        </w:r>
        <w:r>
          <w:rPr>
            <w:rFonts w:eastAsia="仿宋_GB2312"/>
            <w:b w:val="0"/>
            <w:bCs/>
            <w:noProof/>
            <w:sz w:val="24"/>
          </w:rPr>
          <w:instrText xml:space="preserve"> PAGEREF _Toc25397 \h </w:instrText>
        </w:r>
        <w:r>
          <w:rPr>
            <w:rFonts w:eastAsia="仿宋_GB2312"/>
            <w:b w:val="0"/>
            <w:bCs/>
            <w:noProof/>
            <w:sz w:val="24"/>
          </w:rPr>
        </w:r>
        <w:r>
          <w:rPr>
            <w:rFonts w:eastAsia="仿宋_GB2312"/>
            <w:b w:val="0"/>
            <w:bCs/>
            <w:noProof/>
            <w:sz w:val="24"/>
          </w:rPr>
          <w:fldChar w:fldCharType="separate"/>
        </w:r>
        <w:r w:rsidR="0031662D">
          <w:rPr>
            <w:rFonts w:eastAsia="仿宋_GB2312"/>
            <w:b w:val="0"/>
            <w:bCs/>
            <w:noProof/>
            <w:sz w:val="24"/>
          </w:rPr>
          <w:t>132</w:t>
        </w:r>
        <w:r>
          <w:rPr>
            <w:rFonts w:eastAsia="仿宋_GB2312"/>
            <w:b w:val="0"/>
            <w:bCs/>
            <w:noProof/>
            <w:sz w:val="24"/>
          </w:rPr>
          <w:fldChar w:fldCharType="end"/>
        </w:r>
      </w:hyperlink>
    </w:p>
    <w:p w14:paraId="4C830724" w14:textId="46F327D6" w:rsidR="000C29B8" w:rsidRDefault="00000000">
      <w:pPr>
        <w:pStyle w:val="TOC1"/>
        <w:tabs>
          <w:tab w:val="clear" w:pos="420"/>
          <w:tab w:val="clear" w:pos="1134"/>
          <w:tab w:val="clear" w:pos="8380"/>
          <w:tab w:val="right" w:leader="dot" w:pos="8312"/>
        </w:tabs>
        <w:snapToGrid w:val="0"/>
        <w:ind w:firstLine="643"/>
        <w:rPr>
          <w:noProof/>
          <w:sz w:val="24"/>
        </w:rPr>
      </w:pPr>
      <w:hyperlink w:anchor="_Toc15158" w:history="1">
        <w:r>
          <w:rPr>
            <w:noProof/>
            <w:sz w:val="24"/>
          </w:rPr>
          <w:t>第十五章</w:t>
        </w:r>
        <w:r>
          <w:rPr>
            <w:noProof/>
            <w:sz w:val="24"/>
          </w:rPr>
          <w:t xml:space="preserve"> </w:t>
        </w:r>
        <w:r>
          <w:rPr>
            <w:noProof/>
            <w:sz w:val="24"/>
          </w:rPr>
          <w:t>释</w:t>
        </w:r>
        <w:r>
          <w:rPr>
            <w:noProof/>
            <w:sz w:val="24"/>
          </w:rPr>
          <w:t xml:space="preserve">  </w:t>
        </w:r>
        <w:r>
          <w:rPr>
            <w:noProof/>
            <w:sz w:val="24"/>
          </w:rPr>
          <w:t>义</w:t>
        </w:r>
        <w:r>
          <w:rPr>
            <w:noProof/>
            <w:sz w:val="24"/>
          </w:rPr>
          <w:tab/>
        </w:r>
        <w:r>
          <w:rPr>
            <w:noProof/>
            <w:sz w:val="24"/>
          </w:rPr>
          <w:fldChar w:fldCharType="begin"/>
        </w:r>
        <w:r>
          <w:rPr>
            <w:noProof/>
            <w:sz w:val="24"/>
          </w:rPr>
          <w:instrText xml:space="preserve"> PAGEREF _Toc15158 \h </w:instrText>
        </w:r>
        <w:r>
          <w:rPr>
            <w:noProof/>
            <w:sz w:val="24"/>
          </w:rPr>
        </w:r>
        <w:r>
          <w:rPr>
            <w:noProof/>
            <w:sz w:val="24"/>
          </w:rPr>
          <w:fldChar w:fldCharType="separate"/>
        </w:r>
        <w:r w:rsidR="0031662D">
          <w:rPr>
            <w:noProof/>
            <w:sz w:val="24"/>
          </w:rPr>
          <w:t>136</w:t>
        </w:r>
        <w:r>
          <w:rPr>
            <w:noProof/>
            <w:sz w:val="24"/>
          </w:rPr>
          <w:fldChar w:fldCharType="end"/>
        </w:r>
      </w:hyperlink>
    </w:p>
    <w:p w14:paraId="59B5E08B" w14:textId="5598CDD6" w:rsidR="000C29B8" w:rsidRDefault="00000000">
      <w:pPr>
        <w:pStyle w:val="TOC1"/>
        <w:tabs>
          <w:tab w:val="clear" w:pos="420"/>
          <w:tab w:val="clear" w:pos="1134"/>
          <w:tab w:val="clear" w:pos="8380"/>
          <w:tab w:val="right" w:leader="dot" w:pos="8312"/>
        </w:tabs>
        <w:snapToGrid w:val="0"/>
        <w:ind w:firstLine="643"/>
        <w:rPr>
          <w:noProof/>
          <w:sz w:val="24"/>
        </w:rPr>
      </w:pPr>
      <w:hyperlink w:anchor="_Toc7080" w:history="1">
        <w:r>
          <w:rPr>
            <w:noProof/>
            <w:sz w:val="24"/>
          </w:rPr>
          <w:t>第十六章</w:t>
        </w:r>
        <w:r>
          <w:rPr>
            <w:noProof/>
            <w:sz w:val="24"/>
          </w:rPr>
          <w:t xml:space="preserve"> </w:t>
        </w:r>
        <w:r>
          <w:rPr>
            <w:noProof/>
            <w:sz w:val="24"/>
          </w:rPr>
          <w:t>附</w:t>
        </w:r>
        <w:r>
          <w:rPr>
            <w:noProof/>
            <w:sz w:val="24"/>
          </w:rPr>
          <w:t xml:space="preserve">  </w:t>
        </w:r>
        <w:r>
          <w:rPr>
            <w:noProof/>
            <w:sz w:val="24"/>
          </w:rPr>
          <w:t>则</w:t>
        </w:r>
        <w:r>
          <w:rPr>
            <w:noProof/>
            <w:sz w:val="24"/>
          </w:rPr>
          <w:tab/>
        </w:r>
        <w:r>
          <w:rPr>
            <w:noProof/>
            <w:sz w:val="24"/>
          </w:rPr>
          <w:fldChar w:fldCharType="begin"/>
        </w:r>
        <w:r>
          <w:rPr>
            <w:noProof/>
            <w:sz w:val="24"/>
          </w:rPr>
          <w:instrText xml:space="preserve"> PAGEREF _Toc7080 \h </w:instrText>
        </w:r>
        <w:r>
          <w:rPr>
            <w:noProof/>
            <w:sz w:val="24"/>
          </w:rPr>
        </w:r>
        <w:r>
          <w:rPr>
            <w:noProof/>
            <w:sz w:val="24"/>
          </w:rPr>
          <w:fldChar w:fldCharType="separate"/>
        </w:r>
        <w:r w:rsidR="0031662D">
          <w:rPr>
            <w:noProof/>
            <w:sz w:val="24"/>
          </w:rPr>
          <w:t>142</w:t>
        </w:r>
        <w:r>
          <w:rPr>
            <w:noProof/>
            <w:sz w:val="24"/>
          </w:rPr>
          <w:fldChar w:fldCharType="end"/>
        </w:r>
      </w:hyperlink>
    </w:p>
    <w:p w14:paraId="317426FD" w14:textId="77777777" w:rsidR="000C29B8" w:rsidRDefault="00000000">
      <w:pPr>
        <w:tabs>
          <w:tab w:val="left" w:leader="dot" w:pos="8280"/>
        </w:tabs>
        <w:snapToGrid w:val="0"/>
        <w:spacing w:line="560" w:lineRule="exact"/>
        <w:ind w:firstLineChars="200" w:firstLine="480"/>
        <w:rPr>
          <w:rFonts w:ascii="仿宋_GB2312" w:eastAsia="仿宋_GB2312" w:hAnsi="宋体"/>
          <w:sz w:val="32"/>
          <w:szCs w:val="32"/>
        </w:rPr>
      </w:pPr>
      <w:r>
        <w:rPr>
          <w:rFonts w:eastAsia="仿宋_GB2312"/>
          <w:sz w:val="24"/>
        </w:rPr>
        <w:fldChar w:fldCharType="end"/>
      </w:r>
    </w:p>
    <w:p w14:paraId="5008805D" w14:textId="77777777" w:rsidR="000C29B8" w:rsidRDefault="000C29B8">
      <w:pPr>
        <w:tabs>
          <w:tab w:val="left" w:leader="dot" w:pos="8280"/>
        </w:tabs>
        <w:snapToGrid w:val="0"/>
        <w:spacing w:line="560" w:lineRule="exact"/>
        <w:ind w:firstLineChars="200" w:firstLine="640"/>
        <w:rPr>
          <w:rFonts w:ascii="仿宋_GB2312" w:eastAsia="仿宋_GB2312" w:hAnsi="宋体"/>
          <w:sz w:val="32"/>
          <w:szCs w:val="32"/>
        </w:rPr>
        <w:sectPr w:rsidR="000C29B8" w:rsidSect="00623438">
          <w:footerReference w:type="even" r:id="rId7"/>
          <w:footerReference w:type="default" r:id="rId8"/>
          <w:pgSz w:w="11906" w:h="16838"/>
          <w:pgMar w:top="1440" w:right="1797" w:bottom="1440" w:left="1797" w:header="851" w:footer="992" w:gutter="0"/>
          <w:pgNumType w:start="1"/>
          <w:cols w:space="425"/>
          <w:docGrid w:type="lines" w:linePitch="312"/>
        </w:sectPr>
      </w:pPr>
    </w:p>
    <w:p w14:paraId="7131626C" w14:textId="77777777" w:rsidR="000C29B8" w:rsidRDefault="00000000">
      <w:pPr>
        <w:pStyle w:val="6"/>
        <w:rPr>
          <w:b/>
        </w:rPr>
      </w:pPr>
      <w:bookmarkStart w:id="1" w:name="_Toc28099"/>
      <w:r>
        <w:rPr>
          <w:rFonts w:hint="eastAsia"/>
        </w:rPr>
        <w:lastRenderedPageBreak/>
        <w:t>总  则</w:t>
      </w:r>
      <w:bookmarkEnd w:id="1"/>
    </w:p>
    <w:p w14:paraId="0E99C5FE" w14:textId="77777777" w:rsidR="000C29B8" w:rsidRDefault="00000000">
      <w:pPr>
        <w:pStyle w:val="afa"/>
        <w:numPr>
          <w:ilvl w:val="0"/>
          <w:numId w:val="2"/>
        </w:numPr>
        <w:spacing w:line="560" w:lineRule="exact"/>
        <w:ind w:left="0" w:firstLine="640"/>
        <w:rPr>
          <w:rFonts w:ascii="仿宋_GB2312" w:hAnsi="宋体"/>
          <w:sz w:val="32"/>
          <w:szCs w:val="32"/>
        </w:rPr>
      </w:pPr>
      <w:r>
        <w:rPr>
          <w:rFonts w:ascii="仿宋_GB2312" w:hAnsi="宋体" w:hint="eastAsia"/>
          <w:sz w:val="32"/>
          <w:szCs w:val="32"/>
        </w:rPr>
        <w:t>为了规范上海证券交易所（以下简称本所）</w:t>
      </w:r>
      <w:proofErr w:type="gramStart"/>
      <w:r>
        <w:rPr>
          <w:rFonts w:ascii="仿宋_GB2312" w:hAnsi="宋体" w:hint="eastAsia"/>
          <w:sz w:val="32"/>
          <w:szCs w:val="32"/>
        </w:rPr>
        <w:t>科创板</w:t>
      </w:r>
      <w:proofErr w:type="gramEnd"/>
      <w:r>
        <w:rPr>
          <w:rFonts w:ascii="仿宋_GB2312" w:hAnsi="宋体" w:hint="eastAsia"/>
          <w:sz w:val="32"/>
          <w:szCs w:val="32"/>
        </w:rPr>
        <w:t>上市和持续监管事宜，支持引导科技创新企业更好地发展，提升公司治理水平，维护证券市场公开、公平、公正，保护投资者的合法权益，增强投资者回报，推动提高上市公司质量，促进资本市场健康发展，根据《中华人民共和国公司法》(以下简称《公司法》)、《中华人民共和国证券法》（以下简称《证券法》）、《关于在上海证券交易所设立科创板并试点注册制的实施意见》《科创板上市公司持续监管办法（试行）》《证券交易所管理办法》等相关法律、行政法规、部门规章、规范性文件（以下统称法律法规）以及《上海证券交易所章程》，制定本规则。</w:t>
      </w:r>
    </w:p>
    <w:p w14:paraId="3C4D6562" w14:textId="77777777" w:rsidR="000C29B8" w:rsidRDefault="00000000">
      <w:pPr>
        <w:pStyle w:val="afa"/>
        <w:numPr>
          <w:ilvl w:val="0"/>
          <w:numId w:val="2"/>
        </w:numPr>
        <w:spacing w:line="560" w:lineRule="exact"/>
        <w:ind w:left="0" w:firstLine="640"/>
        <w:rPr>
          <w:rFonts w:ascii="仿宋_GB2312" w:hAnsi="宋体"/>
          <w:sz w:val="32"/>
          <w:szCs w:val="32"/>
        </w:rPr>
      </w:pPr>
      <w:r>
        <w:rPr>
          <w:rFonts w:ascii="仿宋_GB2312" w:hAnsi="宋体" w:hint="eastAsia"/>
          <w:sz w:val="32"/>
          <w:szCs w:val="32"/>
        </w:rPr>
        <w:t>股票、存托凭证及其衍生品种在</w:t>
      </w:r>
      <w:proofErr w:type="gramStart"/>
      <w:r>
        <w:rPr>
          <w:rFonts w:ascii="仿宋_GB2312" w:hAnsi="宋体" w:hint="eastAsia"/>
          <w:sz w:val="32"/>
          <w:szCs w:val="32"/>
        </w:rPr>
        <w:t>本所科创板的</w:t>
      </w:r>
      <w:proofErr w:type="gramEnd"/>
      <w:r>
        <w:rPr>
          <w:rFonts w:ascii="仿宋_GB2312" w:hAnsi="宋体" w:hint="eastAsia"/>
          <w:sz w:val="32"/>
          <w:szCs w:val="32"/>
        </w:rPr>
        <w:t>上市和持续监管等事宜，适用本规则；本规则未作规定的，适用本所其他有关规定。</w:t>
      </w:r>
    </w:p>
    <w:p w14:paraId="00373EB7" w14:textId="77777777" w:rsidR="000C29B8" w:rsidRDefault="00000000">
      <w:pPr>
        <w:pStyle w:val="afa"/>
        <w:numPr>
          <w:ilvl w:val="0"/>
          <w:numId w:val="2"/>
        </w:numPr>
        <w:spacing w:line="560" w:lineRule="exact"/>
        <w:ind w:left="0" w:firstLine="640"/>
        <w:rPr>
          <w:rFonts w:ascii="仿宋_GB2312" w:hAnsi="宋体"/>
          <w:sz w:val="32"/>
          <w:szCs w:val="32"/>
        </w:rPr>
      </w:pPr>
      <w:r>
        <w:rPr>
          <w:rFonts w:ascii="仿宋_GB2312" w:hAnsi="宋体" w:hint="eastAsia"/>
          <w:sz w:val="32"/>
          <w:szCs w:val="32"/>
        </w:rPr>
        <w:t>发行人股票在本所科</w:t>
      </w:r>
      <w:proofErr w:type="gramStart"/>
      <w:r>
        <w:rPr>
          <w:rFonts w:ascii="仿宋_GB2312" w:hAnsi="宋体" w:hint="eastAsia"/>
          <w:sz w:val="32"/>
          <w:szCs w:val="32"/>
        </w:rPr>
        <w:t>创板首次</w:t>
      </w:r>
      <w:proofErr w:type="gramEnd"/>
      <w:r>
        <w:rPr>
          <w:rFonts w:ascii="仿宋_GB2312" w:hAnsi="宋体" w:hint="eastAsia"/>
          <w:sz w:val="32"/>
          <w:szCs w:val="32"/>
        </w:rPr>
        <w:t>上市，应当经本所审核并由中国证监会</w:t>
      </w:r>
      <w:proofErr w:type="gramStart"/>
      <w:r>
        <w:rPr>
          <w:rFonts w:ascii="仿宋_GB2312" w:hAnsi="宋体" w:hint="eastAsia"/>
          <w:sz w:val="32"/>
          <w:szCs w:val="32"/>
        </w:rPr>
        <w:t>作出</w:t>
      </w:r>
      <w:proofErr w:type="gramEnd"/>
      <w:r>
        <w:rPr>
          <w:rFonts w:ascii="仿宋_GB2312" w:hAnsi="宋体" w:hint="eastAsia"/>
          <w:sz w:val="32"/>
          <w:szCs w:val="32"/>
        </w:rPr>
        <w:t>同意注册决定。发行人应当与本所签订上市协议，明确双方的权利、义务和其他有关事项。</w:t>
      </w:r>
    </w:p>
    <w:p w14:paraId="626DAB59" w14:textId="77777777" w:rsidR="000C29B8" w:rsidRDefault="00000000">
      <w:pPr>
        <w:pStyle w:val="afa"/>
        <w:numPr>
          <w:ilvl w:val="0"/>
          <w:numId w:val="2"/>
        </w:numPr>
        <w:spacing w:line="560" w:lineRule="exact"/>
        <w:ind w:left="0" w:firstLine="640"/>
        <w:rPr>
          <w:rFonts w:ascii="仿宋_GB2312" w:hAnsi="宋体"/>
          <w:sz w:val="32"/>
          <w:szCs w:val="32"/>
        </w:rPr>
      </w:pPr>
      <w:r>
        <w:rPr>
          <w:rFonts w:ascii="仿宋_GB2312" w:hAnsi="宋体" w:hint="eastAsia"/>
          <w:sz w:val="32"/>
          <w:szCs w:val="32"/>
        </w:rPr>
        <w:t>发行人、上市公司及其董事、监事、高级管理人员、核心技术人员、股东或存托凭证持有人、实际控制人、收购人及其相关人员、重大资产重组交易对方及其相关人员、</w:t>
      </w:r>
      <w:r>
        <w:rPr>
          <w:rFonts w:ascii="仿宋_GB2312" w:hAnsi="Arial Unicode MS" w:cs="Arial Unicode MS" w:hint="eastAsia"/>
          <w:sz w:val="32"/>
          <w:szCs w:val="32"/>
        </w:rPr>
        <w:t>破产管理人及其成员</w:t>
      </w:r>
      <w:r>
        <w:rPr>
          <w:rFonts w:ascii="仿宋_GB2312" w:hAnsi="宋体" w:hint="eastAsia"/>
          <w:sz w:val="32"/>
          <w:szCs w:val="32"/>
        </w:rPr>
        <w:t>，应当遵守法律法规、本规则以及本所其他规定，履行信息披露义务，促进公司规范运作。</w:t>
      </w:r>
    </w:p>
    <w:p w14:paraId="2453705E" w14:textId="77777777" w:rsidR="000C29B8" w:rsidRDefault="00000000">
      <w:pPr>
        <w:pStyle w:val="afa"/>
        <w:numPr>
          <w:ilvl w:val="0"/>
          <w:numId w:val="2"/>
        </w:numPr>
        <w:spacing w:line="560" w:lineRule="exact"/>
        <w:ind w:left="0" w:firstLine="640"/>
        <w:rPr>
          <w:rFonts w:ascii="仿宋_GB2312" w:hAnsi="宋体"/>
          <w:sz w:val="32"/>
          <w:szCs w:val="32"/>
        </w:rPr>
      </w:pPr>
      <w:r>
        <w:rPr>
          <w:rFonts w:ascii="仿宋_GB2312" w:hAnsi="宋体" w:hint="eastAsia"/>
          <w:sz w:val="32"/>
          <w:szCs w:val="32"/>
        </w:rPr>
        <w:t>为发行人、上市公司以及相关信息披露义务人提供</w:t>
      </w:r>
      <w:r>
        <w:rPr>
          <w:rFonts w:ascii="仿宋_GB2312" w:hAnsi="宋体" w:hint="eastAsia"/>
          <w:sz w:val="32"/>
          <w:szCs w:val="32"/>
        </w:rPr>
        <w:lastRenderedPageBreak/>
        <w:t>服务的保荐机构、保荐代表人、证券服务机构及其相关人员,应当遵守法律法规、本规则以及本所其他规定，诚实守信，勤勉尽责。</w:t>
      </w:r>
    </w:p>
    <w:p w14:paraId="300A91C1"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宋体" w:hint="eastAsia"/>
          <w:sz w:val="32"/>
          <w:szCs w:val="32"/>
        </w:rPr>
        <w:t>保荐机构、保荐代表人和证券服务机构制作、出具文件应当对所依据资料内容的真实性、准确性、完整性进行核查和验证，所制作、出具的文件不得有虚假记载、误导性陈述或者重大遗漏</w:t>
      </w:r>
      <w:r>
        <w:rPr>
          <w:rFonts w:ascii="仿宋_GB2312" w:eastAsia="仿宋_GB2312" w:hint="eastAsia"/>
          <w:bCs/>
          <w:sz w:val="32"/>
          <w:szCs w:val="32"/>
        </w:rPr>
        <w:t>。</w:t>
      </w:r>
    </w:p>
    <w:p w14:paraId="20865728" w14:textId="77777777" w:rsidR="000C29B8" w:rsidRDefault="00000000">
      <w:pPr>
        <w:pStyle w:val="afa"/>
        <w:numPr>
          <w:ilvl w:val="0"/>
          <w:numId w:val="2"/>
        </w:numPr>
        <w:spacing w:line="560" w:lineRule="exact"/>
        <w:ind w:left="0" w:firstLine="640"/>
        <w:rPr>
          <w:rFonts w:ascii="仿宋_GB2312" w:hAnsi="宋体"/>
          <w:sz w:val="32"/>
          <w:szCs w:val="32"/>
        </w:rPr>
      </w:pPr>
      <w:r>
        <w:rPr>
          <w:rFonts w:ascii="仿宋_GB2312" w:hAnsi="宋体" w:hint="eastAsia"/>
          <w:sz w:val="32"/>
          <w:szCs w:val="32"/>
        </w:rPr>
        <w:t>本所依据法律法规、本规则以及本所其他规定、上市协议、相关主体的声明与承诺，对前述第</w:t>
      </w:r>
      <w:r>
        <w:rPr>
          <w:rFonts w:ascii="仿宋_GB2312" w:hAnsi="宋体"/>
          <w:sz w:val="32"/>
          <w:szCs w:val="32"/>
        </w:rPr>
        <w:t>1.4</w:t>
      </w:r>
      <w:r>
        <w:rPr>
          <w:rFonts w:ascii="仿宋_GB2312" w:hAnsi="宋体" w:hint="eastAsia"/>
          <w:sz w:val="32"/>
          <w:szCs w:val="32"/>
        </w:rPr>
        <w:t>条、第</w:t>
      </w:r>
      <w:r>
        <w:rPr>
          <w:rFonts w:ascii="仿宋_GB2312" w:hAnsi="宋体"/>
          <w:sz w:val="32"/>
          <w:szCs w:val="32"/>
        </w:rPr>
        <w:t>1.5</w:t>
      </w:r>
      <w:r>
        <w:rPr>
          <w:rFonts w:ascii="仿宋_GB2312" w:hAnsi="宋体" w:hint="eastAsia"/>
          <w:sz w:val="32"/>
          <w:szCs w:val="32"/>
        </w:rPr>
        <w:t>条规定的机构及相关人员进行自律监管。</w:t>
      </w:r>
    </w:p>
    <w:p w14:paraId="5CCA5C4A" w14:textId="77777777" w:rsidR="000C29B8" w:rsidRDefault="000C29B8">
      <w:pPr>
        <w:spacing w:line="560" w:lineRule="exact"/>
        <w:rPr>
          <w:rFonts w:ascii="仿宋_GB2312" w:eastAsia="仿宋_GB2312" w:hAnsi="宋体"/>
          <w:sz w:val="32"/>
          <w:szCs w:val="32"/>
        </w:rPr>
      </w:pPr>
    </w:p>
    <w:p w14:paraId="5A437D04" w14:textId="77777777" w:rsidR="000C29B8" w:rsidRDefault="00000000">
      <w:pPr>
        <w:pStyle w:val="6"/>
        <w:rPr>
          <w:b/>
        </w:rPr>
      </w:pPr>
      <w:bookmarkStart w:id="2" w:name="_Toc3029"/>
      <w:r>
        <w:rPr>
          <w:rFonts w:hint="eastAsia"/>
        </w:rPr>
        <w:t>股票上市与交易</w:t>
      </w:r>
      <w:bookmarkEnd w:id="2"/>
    </w:p>
    <w:p w14:paraId="6A1FDF23" w14:textId="77777777" w:rsidR="000C29B8" w:rsidRDefault="00000000">
      <w:pPr>
        <w:pStyle w:val="23"/>
        <w:numPr>
          <w:ilvl w:val="1"/>
          <w:numId w:val="1"/>
        </w:numPr>
        <w:ind w:left="0" w:firstLine="643"/>
      </w:pPr>
      <w:bookmarkStart w:id="3" w:name="_Toc5593"/>
      <w:r>
        <w:rPr>
          <w:rFonts w:hint="eastAsia"/>
        </w:rPr>
        <w:t>首次公开发行股票的上市</w:t>
      </w:r>
      <w:bookmarkEnd w:id="3"/>
    </w:p>
    <w:p w14:paraId="63C03600" w14:textId="77777777" w:rsidR="000C29B8" w:rsidRDefault="00000000">
      <w:pPr>
        <w:numPr>
          <w:ilvl w:val="2"/>
          <w:numId w:val="3"/>
        </w:numPr>
        <w:tabs>
          <w:tab w:val="clear" w:pos="720"/>
          <w:tab w:val="left" w:pos="1260"/>
        </w:tabs>
        <w:autoSpaceDE w:val="0"/>
        <w:autoSpaceDN w:val="0"/>
        <w:adjustRightInd w:val="0"/>
        <w:snapToGrid w:val="0"/>
        <w:spacing w:line="560" w:lineRule="exact"/>
        <w:ind w:left="0" w:firstLineChars="200" w:firstLine="640"/>
        <w:rPr>
          <w:rFonts w:ascii="仿宋_GB2312" w:eastAsia="仿宋_GB2312" w:hAnsi="宋体" w:cs="宋体"/>
          <w:sz w:val="32"/>
          <w:szCs w:val="32"/>
        </w:rPr>
      </w:pPr>
      <w:r>
        <w:rPr>
          <w:rFonts w:ascii="仿宋_GB2312" w:eastAsia="仿宋_GB2312" w:hAnsi="宋体" w:cs="宋体" w:hint="eastAsia"/>
          <w:sz w:val="32"/>
          <w:szCs w:val="32"/>
        </w:rPr>
        <w:t>发行人申请在</w:t>
      </w:r>
      <w:proofErr w:type="gramStart"/>
      <w:r>
        <w:rPr>
          <w:rFonts w:ascii="仿宋_GB2312" w:eastAsia="仿宋_GB2312" w:hAnsi="宋体" w:cs="宋体" w:hint="eastAsia"/>
          <w:sz w:val="32"/>
          <w:szCs w:val="32"/>
        </w:rPr>
        <w:t>本所科创板上市</w:t>
      </w:r>
      <w:proofErr w:type="gramEnd"/>
      <w:r>
        <w:rPr>
          <w:rFonts w:ascii="仿宋_GB2312" w:eastAsia="仿宋_GB2312" w:hAnsi="宋体" w:cs="宋体" w:hint="eastAsia"/>
          <w:sz w:val="32"/>
          <w:szCs w:val="32"/>
        </w:rPr>
        <w:t>，应当符合下列条件：</w:t>
      </w:r>
    </w:p>
    <w:p w14:paraId="5FE49A9B"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（一）符合中国证监会规定的发行条件；</w:t>
      </w:r>
    </w:p>
    <w:p w14:paraId="600C08C5"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（二）发行后股本总额不低于人民币3000万元；</w:t>
      </w:r>
    </w:p>
    <w:p w14:paraId="48B94CF3"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（三）公开发行的股份达到公司股份总数的25%以上；公司股本总额超过人民币4亿元的，公开发行股份的比例为10%以上；</w:t>
      </w:r>
    </w:p>
    <w:p w14:paraId="07C9E8E3"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（四）市值及财务指标符合本规则规定的标准；</w:t>
      </w:r>
    </w:p>
    <w:p w14:paraId="67F80170"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（五）本所规定的其他上市条件。</w:t>
      </w:r>
    </w:p>
    <w:p w14:paraId="305C0FA3" w14:textId="77777777" w:rsidR="000C29B8" w:rsidRDefault="00000000">
      <w:pPr>
        <w:spacing w:line="560" w:lineRule="exact"/>
        <w:ind w:firstLineChars="200" w:firstLine="640"/>
        <w:rPr>
          <w:rFonts w:ascii="仿宋_GB2312" w:eastAsia="仿宋_GB2312" w:hAnsi="宋体" w:cs="宋体"/>
          <w:sz w:val="32"/>
          <w:szCs w:val="32"/>
        </w:rPr>
      </w:pPr>
      <w:r>
        <w:rPr>
          <w:rFonts w:ascii="仿宋_GB2312" w:eastAsia="仿宋_GB2312" w:cs="宋体"/>
          <w:sz w:val="32"/>
          <w:szCs w:val="32"/>
        </w:rPr>
        <w:t>红</w:t>
      </w:r>
      <w:proofErr w:type="gramStart"/>
      <w:r>
        <w:rPr>
          <w:rFonts w:ascii="仿宋_GB2312" w:eastAsia="仿宋_GB2312" w:cs="宋体"/>
          <w:sz w:val="32"/>
          <w:szCs w:val="32"/>
        </w:rPr>
        <w:t>筹企业</w:t>
      </w:r>
      <w:proofErr w:type="gramEnd"/>
      <w:r>
        <w:rPr>
          <w:rFonts w:ascii="仿宋_GB2312" w:eastAsia="仿宋_GB2312" w:cs="宋体"/>
          <w:sz w:val="32"/>
          <w:szCs w:val="32"/>
        </w:rPr>
        <w:t>发行股票的，前款第二项调整为</w:t>
      </w:r>
      <w:r>
        <w:rPr>
          <w:rFonts w:ascii="仿宋_GB2312" w:eastAsia="仿宋_GB2312" w:cs="宋体" w:hint="eastAsia"/>
          <w:sz w:val="32"/>
          <w:szCs w:val="32"/>
        </w:rPr>
        <w:t>发行后的股份总数不低于3000万股</w:t>
      </w:r>
      <w:r>
        <w:rPr>
          <w:rFonts w:ascii="仿宋_GB2312" w:eastAsia="仿宋_GB2312" w:cs="宋体"/>
          <w:sz w:val="32"/>
          <w:szCs w:val="32"/>
        </w:rPr>
        <w:t>，前款第三项调整为</w:t>
      </w:r>
      <w:r>
        <w:rPr>
          <w:rFonts w:ascii="仿宋_GB2312" w:eastAsia="仿宋_GB2312" w:cs="宋体" w:hint="eastAsia"/>
          <w:sz w:val="32"/>
          <w:szCs w:val="32"/>
        </w:rPr>
        <w:t>公开发行的股份</w:t>
      </w:r>
      <w:r>
        <w:rPr>
          <w:rFonts w:ascii="仿宋_GB2312" w:eastAsia="仿宋_GB2312" w:cs="宋体" w:hint="eastAsia"/>
          <w:sz w:val="32"/>
          <w:szCs w:val="32"/>
        </w:rPr>
        <w:lastRenderedPageBreak/>
        <w:t>达到公司股份总数的25%以上；公司股份总数超过4亿股的，公开发行股份的比例为10%以上</w:t>
      </w:r>
      <w:r>
        <w:rPr>
          <w:rFonts w:ascii="仿宋_GB2312" w:eastAsia="仿宋_GB2312" w:cs="宋体"/>
          <w:sz w:val="32"/>
          <w:szCs w:val="32"/>
        </w:rPr>
        <w:t>。红</w:t>
      </w:r>
      <w:proofErr w:type="gramStart"/>
      <w:r>
        <w:rPr>
          <w:rFonts w:ascii="仿宋_GB2312" w:eastAsia="仿宋_GB2312" w:cs="宋体"/>
          <w:sz w:val="32"/>
          <w:szCs w:val="32"/>
        </w:rPr>
        <w:t>筹企业</w:t>
      </w:r>
      <w:proofErr w:type="gramEnd"/>
      <w:r>
        <w:rPr>
          <w:rFonts w:ascii="仿宋_GB2312" w:eastAsia="仿宋_GB2312" w:cs="宋体"/>
          <w:sz w:val="32"/>
          <w:szCs w:val="32"/>
        </w:rPr>
        <w:t>发行存托凭证的，前款第二项调整为</w:t>
      </w:r>
      <w:r>
        <w:rPr>
          <w:rFonts w:ascii="仿宋_GB2312" w:eastAsia="仿宋_GB2312" w:cs="宋体" w:hint="eastAsia"/>
          <w:sz w:val="32"/>
          <w:szCs w:val="32"/>
        </w:rPr>
        <w:t>发行后的存托凭证总份数不低于3000万份</w:t>
      </w:r>
      <w:r>
        <w:rPr>
          <w:rFonts w:ascii="仿宋_GB2312" w:eastAsia="仿宋_GB2312" w:cs="宋体"/>
          <w:sz w:val="32"/>
          <w:szCs w:val="32"/>
        </w:rPr>
        <w:t>，前款第三项调整为</w:t>
      </w:r>
      <w:r>
        <w:rPr>
          <w:rFonts w:ascii="仿宋_GB2312" w:eastAsia="仿宋_GB2312" w:cs="宋体" w:hint="eastAsia"/>
          <w:sz w:val="32"/>
          <w:szCs w:val="32"/>
        </w:rPr>
        <w:t>公开发行的存托凭证对应基础股份达到公司股份总数的25%以上；发行后的存托凭证总份数超过4亿份的，公开发行存托凭证对应基础股份达到公司股份总数的10%以上</w:t>
      </w:r>
      <w:r>
        <w:rPr>
          <w:rFonts w:ascii="仿宋_GB2312" w:eastAsia="仿宋_GB2312" w:cs="宋体"/>
          <w:sz w:val="32"/>
          <w:szCs w:val="32"/>
        </w:rPr>
        <w:t>。</w:t>
      </w:r>
    </w:p>
    <w:p w14:paraId="56D0B3E9"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Ansi="宋体" w:cs="宋体" w:hint="eastAsia"/>
          <w:sz w:val="32"/>
          <w:szCs w:val="32"/>
        </w:rPr>
        <w:t>本所可以根据市场情况，经中国证监会批准，对上市条件和具体标准进行调整。</w:t>
      </w:r>
    </w:p>
    <w:p w14:paraId="1F92C75D" w14:textId="77777777" w:rsidR="000C29B8" w:rsidRDefault="00000000">
      <w:pPr>
        <w:numPr>
          <w:ilvl w:val="2"/>
          <w:numId w:val="3"/>
        </w:numPr>
        <w:tabs>
          <w:tab w:val="clear" w:pos="720"/>
          <w:tab w:val="left" w:pos="1260"/>
        </w:tabs>
        <w:autoSpaceDE w:val="0"/>
        <w:autoSpaceDN w:val="0"/>
        <w:adjustRightInd w:val="0"/>
        <w:snapToGrid w:val="0"/>
        <w:spacing w:line="560" w:lineRule="exact"/>
        <w:ind w:left="0" w:firstLineChars="200" w:firstLine="640"/>
        <w:rPr>
          <w:rFonts w:ascii="仿宋_GB2312" w:eastAsia="仿宋_GB2312" w:hAnsi="宋体" w:cs="宋体"/>
          <w:sz w:val="32"/>
          <w:szCs w:val="32"/>
        </w:rPr>
      </w:pPr>
      <w:r>
        <w:rPr>
          <w:rFonts w:ascii="仿宋_GB2312" w:eastAsia="仿宋_GB2312" w:hAnsi="宋体" w:cs="宋体" w:hint="eastAsia"/>
          <w:sz w:val="32"/>
          <w:szCs w:val="32"/>
        </w:rPr>
        <w:t>发行人申请在</w:t>
      </w:r>
      <w:proofErr w:type="gramStart"/>
      <w:r>
        <w:rPr>
          <w:rFonts w:ascii="仿宋_GB2312" w:eastAsia="仿宋_GB2312" w:hAnsi="宋体" w:cs="宋体" w:hint="eastAsia"/>
          <w:sz w:val="32"/>
          <w:szCs w:val="32"/>
        </w:rPr>
        <w:t>本所科创板上市</w:t>
      </w:r>
      <w:proofErr w:type="gramEnd"/>
      <w:r>
        <w:rPr>
          <w:rFonts w:ascii="仿宋_GB2312" w:eastAsia="仿宋_GB2312" w:hAnsi="宋体" w:cs="宋体" w:hint="eastAsia"/>
          <w:sz w:val="32"/>
          <w:szCs w:val="32"/>
        </w:rPr>
        <w:t>，</w:t>
      </w:r>
      <w:r>
        <w:rPr>
          <w:rFonts w:ascii="仿宋_GB2312" w:eastAsia="仿宋_GB2312" w:hint="eastAsia"/>
          <w:sz w:val="32"/>
          <w:szCs w:val="32"/>
        </w:rPr>
        <w:t>市值及财务指标应当至少符合下列标准中的一项</w:t>
      </w:r>
      <w:r>
        <w:rPr>
          <w:rFonts w:ascii="仿宋_GB2312" w:eastAsia="仿宋_GB2312" w:hAnsi="宋体" w:cs="宋体" w:hint="eastAsia"/>
          <w:sz w:val="32"/>
          <w:szCs w:val="32"/>
        </w:rPr>
        <w:t>：</w:t>
      </w:r>
    </w:p>
    <w:p w14:paraId="5CF70CD5"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（一）预计市值不低于人民币10亿元，最近两年净利润均为正且累计净利润不低于人民币5000万元，或者预计市值不低于人民币10亿元，最近一年净利润为正且营业收入不低于人民币1亿元；</w:t>
      </w:r>
    </w:p>
    <w:p w14:paraId="0CB41D40"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（二）预计市值不低于人民币15亿元，最近一年营业收入不低于人民币2亿元，且最近三年累计研发投入</w:t>
      </w:r>
      <w:proofErr w:type="gramStart"/>
      <w:r>
        <w:rPr>
          <w:rFonts w:ascii="仿宋_GB2312" w:eastAsia="仿宋_GB2312" w:hint="eastAsia"/>
          <w:sz w:val="32"/>
          <w:szCs w:val="32"/>
        </w:rPr>
        <w:t>占最近</w:t>
      </w:r>
      <w:proofErr w:type="gramEnd"/>
      <w:r>
        <w:rPr>
          <w:rFonts w:ascii="仿宋_GB2312" w:eastAsia="仿宋_GB2312" w:hint="eastAsia"/>
          <w:sz w:val="32"/>
          <w:szCs w:val="32"/>
        </w:rPr>
        <w:t>三年累计营业收入的比例不低于15%；</w:t>
      </w:r>
    </w:p>
    <w:p w14:paraId="74D2D9DE"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（三）预计市值不低于人民币20亿元，最近一年营业收入不低于人民币3亿元，且最近三年经营活动产生的现金流量净额累计不低于人民币1亿元；</w:t>
      </w:r>
    </w:p>
    <w:p w14:paraId="57FD0DA3"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（四）预计市值不低于人民币30亿元，且最近一年营业收入不低于人民币3亿元；</w:t>
      </w:r>
    </w:p>
    <w:p w14:paraId="220106F3"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（五）预计市值不低于人民币40亿元，</w:t>
      </w:r>
      <w:r>
        <w:rPr>
          <w:rFonts w:ascii="仿宋_GB2312" w:eastAsia="仿宋_GB2312"/>
          <w:sz w:val="32"/>
          <w:szCs w:val="32"/>
        </w:rPr>
        <w:t>主要业务或产</w:t>
      </w:r>
      <w:r>
        <w:rPr>
          <w:rFonts w:ascii="仿宋_GB2312" w:eastAsia="仿宋_GB2312"/>
          <w:sz w:val="32"/>
          <w:szCs w:val="32"/>
        </w:rPr>
        <w:lastRenderedPageBreak/>
        <w:t>品需经国家有关部门批准，市场空间大，目前已取得阶段性成果。</w:t>
      </w:r>
      <w:r>
        <w:rPr>
          <w:rFonts w:ascii="仿宋_GB2312" w:eastAsia="仿宋_GB2312" w:hint="eastAsia"/>
          <w:sz w:val="32"/>
          <w:szCs w:val="32"/>
        </w:rPr>
        <w:t>医药行业企业需至少有一项核心产品获准开展二期临床试验，其他</w:t>
      </w:r>
      <w:r>
        <w:rPr>
          <w:rFonts w:ascii="仿宋_GB2312" w:eastAsia="仿宋_GB2312"/>
          <w:sz w:val="32"/>
          <w:szCs w:val="32"/>
        </w:rPr>
        <w:t>符合</w:t>
      </w:r>
      <w:proofErr w:type="gramStart"/>
      <w:r>
        <w:rPr>
          <w:rFonts w:ascii="仿宋_GB2312" w:eastAsia="仿宋_GB2312"/>
          <w:sz w:val="32"/>
          <w:szCs w:val="32"/>
        </w:rPr>
        <w:t>科创板</w:t>
      </w:r>
      <w:proofErr w:type="gramEnd"/>
      <w:r>
        <w:rPr>
          <w:rFonts w:ascii="仿宋_GB2312" w:eastAsia="仿宋_GB2312"/>
          <w:sz w:val="32"/>
          <w:szCs w:val="32"/>
        </w:rPr>
        <w:t>定位的</w:t>
      </w:r>
      <w:r>
        <w:rPr>
          <w:rFonts w:ascii="仿宋_GB2312" w:eastAsia="仿宋_GB2312" w:hint="eastAsia"/>
          <w:sz w:val="32"/>
          <w:szCs w:val="32"/>
        </w:rPr>
        <w:t>企业</w:t>
      </w:r>
      <w:r>
        <w:rPr>
          <w:rFonts w:ascii="仿宋_GB2312" w:eastAsia="仿宋_GB2312"/>
          <w:sz w:val="32"/>
          <w:szCs w:val="32"/>
        </w:rPr>
        <w:t>需具备明显的技术优势并满足相应条件</w:t>
      </w:r>
      <w:r>
        <w:rPr>
          <w:rFonts w:ascii="仿宋_GB2312" w:eastAsia="仿宋_GB2312" w:hint="eastAsia"/>
          <w:sz w:val="32"/>
          <w:szCs w:val="32"/>
        </w:rPr>
        <w:t>。</w:t>
      </w:r>
    </w:p>
    <w:p w14:paraId="1C745EDD"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本条所称净利润以扣除非经常性损益前后的孰低者为准，所称净利润、营业收入、经营活动产生的现金流量净额均指经审计的数值。</w:t>
      </w:r>
    </w:p>
    <w:p w14:paraId="3767FBCF" w14:textId="77777777" w:rsidR="000C29B8" w:rsidRDefault="00000000">
      <w:pPr>
        <w:numPr>
          <w:ilvl w:val="2"/>
          <w:numId w:val="3"/>
        </w:numPr>
        <w:tabs>
          <w:tab w:val="clear" w:pos="720"/>
          <w:tab w:val="left" w:pos="1260"/>
        </w:tabs>
        <w:autoSpaceDE w:val="0"/>
        <w:autoSpaceDN w:val="0"/>
        <w:adjustRightInd w:val="0"/>
        <w:snapToGrid w:val="0"/>
        <w:spacing w:line="560" w:lineRule="exact"/>
        <w:ind w:left="0" w:firstLineChars="200" w:firstLine="640"/>
        <w:rPr>
          <w:rFonts w:ascii="仿宋_GB2312" w:eastAsia="仿宋_GB2312" w:hAnsi="宋体" w:cs="宋体"/>
          <w:sz w:val="32"/>
          <w:szCs w:val="32"/>
        </w:rPr>
      </w:pPr>
      <w:r>
        <w:rPr>
          <w:rFonts w:ascii="仿宋_GB2312" w:eastAsia="仿宋_GB2312"/>
          <w:sz w:val="32"/>
          <w:szCs w:val="32"/>
        </w:rPr>
        <w:t>符合《国务院办公厅转发证监会关于开展创新企业境内发行股票或存托凭证试点若干意见的通知》（国办发</w:t>
      </w:r>
      <w:r>
        <w:rPr>
          <w:rFonts w:ascii="宋体" w:hAnsi="宋体" w:cs="宋体" w:hint="eastAsia"/>
          <w:sz w:val="32"/>
          <w:szCs w:val="32"/>
        </w:rPr>
        <w:t>﹝</w:t>
      </w:r>
      <w:r>
        <w:rPr>
          <w:rFonts w:ascii="仿宋_GB2312" w:eastAsia="仿宋_GB2312"/>
          <w:sz w:val="32"/>
          <w:szCs w:val="32"/>
        </w:rPr>
        <w:t>2018</w:t>
      </w:r>
      <w:r>
        <w:rPr>
          <w:rFonts w:ascii="宋体" w:hAnsi="宋体" w:cs="宋体" w:hint="eastAsia"/>
          <w:sz w:val="32"/>
          <w:szCs w:val="32"/>
        </w:rPr>
        <w:t>﹞</w:t>
      </w:r>
      <w:r>
        <w:rPr>
          <w:rFonts w:ascii="仿宋_GB2312" w:eastAsia="仿宋_GB2312"/>
          <w:sz w:val="32"/>
          <w:szCs w:val="32"/>
        </w:rPr>
        <w:t>21号）相关规定的红筹企业，可以申请发行股票或存托凭证并在</w:t>
      </w:r>
      <w:proofErr w:type="gramStart"/>
      <w:r>
        <w:rPr>
          <w:rFonts w:ascii="仿宋_GB2312" w:eastAsia="仿宋_GB2312"/>
          <w:sz w:val="32"/>
          <w:szCs w:val="32"/>
        </w:rPr>
        <w:t>科创板</w:t>
      </w:r>
      <w:proofErr w:type="gramEnd"/>
      <w:r>
        <w:rPr>
          <w:rFonts w:ascii="仿宋_GB2312" w:eastAsia="仿宋_GB2312"/>
          <w:sz w:val="32"/>
          <w:szCs w:val="32"/>
        </w:rPr>
        <w:t>上市。</w:t>
      </w:r>
    </w:p>
    <w:p w14:paraId="2B33FE88" w14:textId="77777777" w:rsidR="000C29B8"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营业收入快速增长，</w:t>
      </w:r>
      <w:r>
        <w:rPr>
          <w:rFonts w:ascii="仿宋_GB2312" w:eastAsia="仿宋_GB2312"/>
          <w:sz w:val="32"/>
          <w:szCs w:val="32"/>
        </w:rPr>
        <w:t>拥有自主研发、国际领先技术，同行业竞争中处于相对优势地位的尚未在境外上市红筹企业，申请在</w:t>
      </w:r>
      <w:proofErr w:type="gramStart"/>
      <w:r>
        <w:rPr>
          <w:rFonts w:ascii="仿宋_GB2312" w:eastAsia="仿宋_GB2312"/>
          <w:sz w:val="32"/>
          <w:szCs w:val="32"/>
        </w:rPr>
        <w:t>科创板</w:t>
      </w:r>
      <w:proofErr w:type="gramEnd"/>
      <w:r>
        <w:rPr>
          <w:rFonts w:ascii="仿宋_GB2312" w:eastAsia="仿宋_GB2312"/>
          <w:sz w:val="32"/>
          <w:szCs w:val="32"/>
        </w:rPr>
        <w:t>上市的，市值及财务指标应当</w:t>
      </w:r>
      <w:r>
        <w:rPr>
          <w:rFonts w:ascii="仿宋_GB2312" w:eastAsia="仿宋_GB2312" w:hint="eastAsia"/>
          <w:sz w:val="32"/>
          <w:szCs w:val="32"/>
        </w:rPr>
        <w:t>至少</w:t>
      </w:r>
      <w:r>
        <w:rPr>
          <w:rFonts w:ascii="仿宋_GB2312" w:eastAsia="仿宋_GB2312"/>
          <w:sz w:val="32"/>
          <w:szCs w:val="32"/>
        </w:rPr>
        <w:t>符合下列标准之一：</w:t>
      </w:r>
    </w:p>
    <w:p w14:paraId="04B86214" w14:textId="77777777" w:rsidR="000C29B8"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（一）预计市值不低于人民币100亿元；</w:t>
      </w:r>
    </w:p>
    <w:p w14:paraId="3097555C" w14:textId="77777777" w:rsidR="000C29B8"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（二）预计市值不低于人民币50亿元，且最近一年营业收入不低于人民币5亿元。</w:t>
      </w:r>
    </w:p>
    <w:p w14:paraId="38B277D3" w14:textId="77777777" w:rsidR="000C29B8"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前款所称营业收入快速增长，指符合下列标准之一：</w:t>
      </w:r>
    </w:p>
    <w:p w14:paraId="31ABA57B" w14:textId="77777777" w:rsidR="000C29B8"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（一）最近一年营业收入不低于人民币5亿元的，最近3年营业收入复合增长率10%以上；</w:t>
      </w:r>
    </w:p>
    <w:p w14:paraId="20F832A2" w14:textId="77777777" w:rsidR="000C29B8"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（二）最近一年营业收入低于人民币5亿元的，最近3年营业收入复合增长率20%以上；</w:t>
      </w:r>
    </w:p>
    <w:p w14:paraId="6CBB273F" w14:textId="77777777" w:rsidR="000C29B8"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（三）受行业周期性波动等因素影响，行业整体处于下</w:t>
      </w:r>
      <w:r>
        <w:rPr>
          <w:rFonts w:ascii="仿宋_GB2312" w:eastAsia="仿宋_GB2312" w:hint="eastAsia"/>
          <w:sz w:val="32"/>
          <w:szCs w:val="32"/>
        </w:rPr>
        <w:lastRenderedPageBreak/>
        <w:t>行周期的，发行人最近3年营业收入复合增长率高于同行业可比公司同期平均增长水平。</w:t>
      </w:r>
    </w:p>
    <w:p w14:paraId="62DD9724" w14:textId="77777777" w:rsidR="000C29B8"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处于研发阶段的红</w:t>
      </w:r>
      <w:proofErr w:type="gramStart"/>
      <w:r>
        <w:rPr>
          <w:rFonts w:ascii="仿宋_GB2312" w:eastAsia="仿宋_GB2312" w:hint="eastAsia"/>
          <w:sz w:val="32"/>
          <w:szCs w:val="32"/>
        </w:rPr>
        <w:t>筹企业</w:t>
      </w:r>
      <w:proofErr w:type="gramEnd"/>
      <w:r>
        <w:rPr>
          <w:rFonts w:ascii="仿宋_GB2312" w:eastAsia="仿宋_GB2312" w:hint="eastAsia"/>
          <w:sz w:val="32"/>
          <w:szCs w:val="32"/>
        </w:rPr>
        <w:t>和对国家创新驱动发展战略有重要意义的红筹企业，不适用“营业收入快速增长”上述要求。</w:t>
      </w:r>
    </w:p>
    <w:p w14:paraId="69FC38A3" w14:textId="77777777" w:rsidR="000C29B8" w:rsidRDefault="00000000">
      <w:pPr>
        <w:numPr>
          <w:ilvl w:val="2"/>
          <w:numId w:val="3"/>
        </w:numPr>
        <w:tabs>
          <w:tab w:val="clear" w:pos="720"/>
          <w:tab w:val="left" w:pos="1260"/>
        </w:tabs>
        <w:autoSpaceDE w:val="0"/>
        <w:autoSpaceDN w:val="0"/>
        <w:adjustRightInd w:val="0"/>
        <w:snapToGrid w:val="0"/>
        <w:spacing w:line="560" w:lineRule="exact"/>
        <w:ind w:left="0" w:firstLineChars="200" w:firstLine="640"/>
        <w:rPr>
          <w:rFonts w:ascii="仿宋_GB2312" w:eastAsia="仿宋_GB2312" w:hAnsi="宋体" w:cs="宋体"/>
          <w:sz w:val="32"/>
          <w:szCs w:val="32"/>
        </w:rPr>
      </w:pPr>
      <w:r>
        <w:rPr>
          <w:rFonts w:ascii="仿宋_GB2312" w:eastAsia="仿宋_GB2312" w:hAnsi="宋体" w:cs="宋体" w:hint="eastAsia"/>
          <w:sz w:val="32"/>
          <w:szCs w:val="32"/>
        </w:rPr>
        <w:t>发行人具有表决权差异安排的，</w:t>
      </w:r>
      <w:r>
        <w:rPr>
          <w:rFonts w:ascii="仿宋_GB2312" w:eastAsia="仿宋_GB2312" w:hint="eastAsia"/>
          <w:sz w:val="32"/>
          <w:szCs w:val="32"/>
        </w:rPr>
        <w:t>市值及财务指标应当至少符合下列标准中的一项</w:t>
      </w:r>
      <w:r>
        <w:rPr>
          <w:rFonts w:ascii="仿宋_GB2312" w:eastAsia="仿宋_GB2312" w:hAnsi="宋体" w:cs="宋体" w:hint="eastAsia"/>
          <w:sz w:val="32"/>
          <w:szCs w:val="32"/>
        </w:rPr>
        <w:t>：</w:t>
      </w:r>
    </w:p>
    <w:p w14:paraId="0C15A906" w14:textId="77777777" w:rsidR="000C29B8"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（一）预计市值不低于人民币100亿元；</w:t>
      </w:r>
    </w:p>
    <w:p w14:paraId="3601FC8F" w14:textId="77777777" w:rsidR="000C29B8" w:rsidRDefault="00000000">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（二）预计市值不低于人民币50亿元，且最近一年营业收入不低于人民币5亿元。</w:t>
      </w:r>
    </w:p>
    <w:p w14:paraId="0542C854" w14:textId="77777777" w:rsidR="000C29B8" w:rsidRDefault="00000000">
      <w:pPr>
        <w:adjustRightInd w:val="0"/>
        <w:snapToGrid w:val="0"/>
        <w:spacing w:line="560" w:lineRule="exact"/>
        <w:ind w:firstLineChars="200" w:firstLine="640"/>
        <w:rPr>
          <w:rFonts w:ascii="仿宋_GB2312" w:eastAsia="仿宋_GB2312" w:hAnsi="Calibri"/>
          <w:sz w:val="32"/>
          <w:szCs w:val="32"/>
        </w:rPr>
      </w:pPr>
      <w:r>
        <w:rPr>
          <w:rFonts w:ascii="仿宋_GB2312" w:eastAsia="仿宋_GB2312" w:hAnsi="宋体" w:cs="宋体" w:hint="eastAsia"/>
          <w:sz w:val="32"/>
          <w:szCs w:val="32"/>
        </w:rPr>
        <w:t>发行人特别表决权股份的持有人资格、公司章程关于表决权差异安排的具体规定，应当符合本</w:t>
      </w:r>
      <w:proofErr w:type="gramStart"/>
      <w:r>
        <w:rPr>
          <w:rFonts w:ascii="仿宋_GB2312" w:eastAsia="仿宋_GB2312" w:hAnsi="宋体" w:cs="宋体" w:hint="eastAsia"/>
          <w:sz w:val="32"/>
          <w:szCs w:val="32"/>
        </w:rPr>
        <w:t>规则第四</w:t>
      </w:r>
      <w:proofErr w:type="gramEnd"/>
      <w:r>
        <w:rPr>
          <w:rFonts w:ascii="仿宋_GB2312" w:eastAsia="仿宋_GB2312" w:hAnsi="宋体" w:cs="宋体" w:hint="eastAsia"/>
          <w:sz w:val="32"/>
          <w:szCs w:val="32"/>
        </w:rPr>
        <w:t>章第五节的规定。</w:t>
      </w:r>
    </w:p>
    <w:p w14:paraId="6E0BF1D7" w14:textId="77777777" w:rsidR="000C29B8" w:rsidRDefault="00000000">
      <w:pPr>
        <w:autoSpaceDE w:val="0"/>
        <w:autoSpaceDN w:val="0"/>
        <w:adjustRightInd w:val="0"/>
        <w:snapToGrid w:val="0"/>
        <w:spacing w:line="560" w:lineRule="exact"/>
        <w:rPr>
          <w:rFonts w:ascii="仿宋_GB2312" w:eastAsia="仿宋_GB2312" w:hAnsi="宋体" w:cs="宋体"/>
          <w:sz w:val="32"/>
          <w:szCs w:val="32"/>
        </w:rPr>
      </w:pPr>
      <w:r>
        <w:rPr>
          <w:rFonts w:ascii="仿宋_GB2312" w:eastAsia="仿宋_GB2312" w:hAnsi="宋体" w:cs="宋体" w:hint="eastAsia"/>
          <w:sz w:val="32"/>
          <w:szCs w:val="32"/>
        </w:rPr>
        <w:t xml:space="preserve">    </w:t>
      </w:r>
      <w:r>
        <w:rPr>
          <w:rFonts w:ascii="仿宋_GB2312" w:eastAsia="仿宋_GB2312" w:hint="eastAsia"/>
          <w:sz w:val="32"/>
          <w:szCs w:val="32"/>
        </w:rPr>
        <w:t>本规则所称表决权差异安排，是指发行人依照《公司法》第一百三十一条的规定，在一般规定的普通股份之外，发行拥有特别表决权的股份（以下简称特别表决权股份）。每一特别表决权股份拥有的表决权数量大于每一普通股份拥有的表决权数量，其他股东权利与普通股份相同。</w:t>
      </w:r>
    </w:p>
    <w:p w14:paraId="5B49AF34" w14:textId="77777777" w:rsidR="000C29B8" w:rsidRDefault="00000000">
      <w:pPr>
        <w:numPr>
          <w:ilvl w:val="2"/>
          <w:numId w:val="3"/>
        </w:numPr>
        <w:tabs>
          <w:tab w:val="clear" w:pos="720"/>
          <w:tab w:val="left" w:pos="1260"/>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发行人首次公开发行股票经中国证监会同意注册并完成股份公开发行后，向本所提出股票上市申请的，应当提交下列文件：</w:t>
      </w:r>
    </w:p>
    <w:p w14:paraId="34D33F86" w14:textId="77777777" w:rsidR="000C29B8" w:rsidRDefault="00000000">
      <w:pPr>
        <w:pStyle w:val="afa"/>
        <w:numPr>
          <w:ilvl w:val="0"/>
          <w:numId w:val="4"/>
        </w:numPr>
        <w:autoSpaceDE w:val="0"/>
        <w:autoSpaceDN w:val="0"/>
        <w:adjustRightInd w:val="0"/>
        <w:snapToGrid w:val="0"/>
        <w:spacing w:line="560" w:lineRule="exact"/>
        <w:ind w:left="0" w:firstLine="640"/>
        <w:rPr>
          <w:rFonts w:ascii="仿宋_GB2312" w:hAnsi="宋体"/>
          <w:sz w:val="32"/>
          <w:szCs w:val="32"/>
        </w:rPr>
      </w:pPr>
      <w:r>
        <w:rPr>
          <w:rFonts w:ascii="仿宋_GB2312" w:hAnsi="宋体" w:hint="eastAsia"/>
          <w:sz w:val="32"/>
          <w:szCs w:val="32"/>
        </w:rPr>
        <w:t>上市申请书；</w:t>
      </w:r>
    </w:p>
    <w:p w14:paraId="2738C528" w14:textId="77777777" w:rsidR="000C29B8" w:rsidRDefault="00000000">
      <w:pPr>
        <w:pStyle w:val="afa"/>
        <w:numPr>
          <w:ilvl w:val="0"/>
          <w:numId w:val="4"/>
        </w:numPr>
        <w:autoSpaceDE w:val="0"/>
        <w:autoSpaceDN w:val="0"/>
        <w:adjustRightInd w:val="0"/>
        <w:snapToGrid w:val="0"/>
        <w:spacing w:line="560" w:lineRule="exact"/>
        <w:ind w:left="0" w:firstLine="640"/>
        <w:rPr>
          <w:rFonts w:ascii="仿宋_GB2312" w:hAnsi="宋体"/>
          <w:sz w:val="32"/>
          <w:szCs w:val="32"/>
        </w:rPr>
      </w:pPr>
      <w:r>
        <w:rPr>
          <w:rFonts w:ascii="仿宋_GB2312" w:hAnsi="宋体" w:hint="eastAsia"/>
          <w:sz w:val="32"/>
          <w:szCs w:val="32"/>
        </w:rPr>
        <w:t>中国证监会同意注册的决定；</w:t>
      </w:r>
    </w:p>
    <w:p w14:paraId="47F06254" w14:textId="77777777" w:rsidR="000C29B8" w:rsidRDefault="00000000">
      <w:pPr>
        <w:pStyle w:val="afa"/>
        <w:numPr>
          <w:ilvl w:val="0"/>
          <w:numId w:val="4"/>
        </w:numPr>
        <w:autoSpaceDE w:val="0"/>
        <w:autoSpaceDN w:val="0"/>
        <w:adjustRightInd w:val="0"/>
        <w:snapToGrid w:val="0"/>
        <w:spacing w:line="560" w:lineRule="exact"/>
        <w:ind w:left="0" w:firstLine="640"/>
        <w:rPr>
          <w:rFonts w:ascii="仿宋_GB2312" w:hAnsi="宋体"/>
          <w:sz w:val="32"/>
          <w:szCs w:val="32"/>
        </w:rPr>
      </w:pPr>
      <w:r>
        <w:rPr>
          <w:rFonts w:ascii="仿宋_GB2312" w:hAnsi="宋体" w:hint="eastAsia"/>
          <w:sz w:val="32"/>
          <w:szCs w:val="32"/>
        </w:rPr>
        <w:t>首次公开发行结束后发行人全部股票已经中国</w:t>
      </w:r>
      <w:r>
        <w:rPr>
          <w:rFonts w:ascii="仿宋_GB2312" w:hAnsi="宋体" w:hint="eastAsia"/>
          <w:sz w:val="32"/>
          <w:szCs w:val="32"/>
        </w:rPr>
        <w:lastRenderedPageBreak/>
        <w:t>证券登记结算有限责任公司（以下简称中国结算）上海分公司登记的证明文件；</w:t>
      </w:r>
    </w:p>
    <w:p w14:paraId="6BF8FF56" w14:textId="77777777" w:rsidR="000C29B8" w:rsidRDefault="00000000">
      <w:pPr>
        <w:pStyle w:val="afa"/>
        <w:numPr>
          <w:ilvl w:val="0"/>
          <w:numId w:val="4"/>
        </w:numPr>
        <w:autoSpaceDE w:val="0"/>
        <w:autoSpaceDN w:val="0"/>
        <w:adjustRightInd w:val="0"/>
        <w:snapToGrid w:val="0"/>
        <w:spacing w:line="560" w:lineRule="exact"/>
        <w:ind w:left="0" w:firstLine="640"/>
        <w:rPr>
          <w:rFonts w:ascii="仿宋_GB2312" w:hAnsi="宋体"/>
          <w:sz w:val="32"/>
          <w:szCs w:val="32"/>
        </w:rPr>
      </w:pPr>
      <w:r>
        <w:rPr>
          <w:rFonts w:ascii="仿宋_GB2312" w:hAnsi="宋体" w:hint="eastAsia"/>
          <w:sz w:val="32"/>
          <w:szCs w:val="32"/>
        </w:rPr>
        <w:t>首次公开发行结束后，具有执行证券、期货相关业务资格的会计师事务所出具的验资报告；</w:t>
      </w:r>
    </w:p>
    <w:p w14:paraId="4A6889BE" w14:textId="77777777" w:rsidR="000C29B8" w:rsidRDefault="00000000">
      <w:pPr>
        <w:pStyle w:val="afa"/>
        <w:numPr>
          <w:ilvl w:val="0"/>
          <w:numId w:val="4"/>
        </w:numPr>
        <w:autoSpaceDE w:val="0"/>
        <w:autoSpaceDN w:val="0"/>
        <w:adjustRightInd w:val="0"/>
        <w:snapToGrid w:val="0"/>
        <w:spacing w:line="560" w:lineRule="exact"/>
        <w:ind w:left="0" w:firstLine="640"/>
        <w:rPr>
          <w:rFonts w:ascii="仿宋_GB2312" w:hAnsi="宋体"/>
          <w:sz w:val="32"/>
          <w:szCs w:val="32"/>
        </w:rPr>
      </w:pPr>
      <w:r>
        <w:rPr>
          <w:rFonts w:ascii="仿宋_GB2312" w:hAnsi="宋体" w:hint="eastAsia"/>
          <w:sz w:val="32"/>
          <w:szCs w:val="32"/>
        </w:rPr>
        <w:t>发行人、控股股东、实际控制人、董事、监事和高级管理人员根据本规则要求出具的证明、声明及承诺；</w:t>
      </w:r>
    </w:p>
    <w:p w14:paraId="27790F79" w14:textId="77777777" w:rsidR="000C29B8" w:rsidRDefault="00000000">
      <w:pPr>
        <w:pStyle w:val="afa"/>
        <w:numPr>
          <w:ilvl w:val="0"/>
          <w:numId w:val="4"/>
        </w:numPr>
        <w:autoSpaceDE w:val="0"/>
        <w:autoSpaceDN w:val="0"/>
        <w:adjustRightInd w:val="0"/>
        <w:snapToGrid w:val="0"/>
        <w:spacing w:line="560" w:lineRule="exact"/>
        <w:ind w:left="0" w:firstLine="640"/>
        <w:rPr>
          <w:rFonts w:ascii="仿宋_GB2312" w:hAnsi="宋体"/>
          <w:sz w:val="32"/>
          <w:szCs w:val="32"/>
        </w:rPr>
      </w:pPr>
      <w:r>
        <w:rPr>
          <w:rFonts w:ascii="仿宋_GB2312" w:hAnsi="宋体" w:hint="eastAsia"/>
          <w:sz w:val="32"/>
          <w:szCs w:val="32"/>
        </w:rPr>
        <w:t>首次公开发行后</w:t>
      </w:r>
      <w:proofErr w:type="gramStart"/>
      <w:r>
        <w:rPr>
          <w:rFonts w:ascii="仿宋_GB2312" w:hAnsi="宋体" w:hint="eastAsia"/>
          <w:sz w:val="32"/>
          <w:szCs w:val="32"/>
        </w:rPr>
        <w:t>至上市</w:t>
      </w:r>
      <w:proofErr w:type="gramEnd"/>
      <w:r>
        <w:rPr>
          <w:rFonts w:ascii="仿宋_GB2312" w:hAnsi="宋体" w:hint="eastAsia"/>
          <w:sz w:val="32"/>
          <w:szCs w:val="32"/>
        </w:rPr>
        <w:t>前，按规定新增的财务资料和有关重大事项的说明（如适用）；</w:t>
      </w:r>
    </w:p>
    <w:p w14:paraId="6A535970" w14:textId="77777777" w:rsidR="000C29B8" w:rsidRDefault="00000000">
      <w:pPr>
        <w:pStyle w:val="afa"/>
        <w:numPr>
          <w:ilvl w:val="0"/>
          <w:numId w:val="4"/>
        </w:numPr>
        <w:autoSpaceDE w:val="0"/>
        <w:autoSpaceDN w:val="0"/>
        <w:adjustRightInd w:val="0"/>
        <w:snapToGrid w:val="0"/>
        <w:spacing w:line="560" w:lineRule="exact"/>
        <w:ind w:left="0" w:firstLine="640"/>
        <w:rPr>
          <w:rFonts w:ascii="仿宋_GB2312" w:hAnsi="宋体"/>
          <w:sz w:val="32"/>
          <w:szCs w:val="32"/>
        </w:rPr>
      </w:pPr>
      <w:r>
        <w:rPr>
          <w:rFonts w:ascii="仿宋_GB2312" w:hAnsi="宋体" w:hint="eastAsia"/>
          <w:sz w:val="32"/>
          <w:szCs w:val="32"/>
        </w:rPr>
        <w:t>本所要求的其他文件。</w:t>
      </w:r>
    </w:p>
    <w:p w14:paraId="1A9B1EA4" w14:textId="77777777" w:rsidR="000C29B8" w:rsidRDefault="00000000">
      <w:pPr>
        <w:numPr>
          <w:ilvl w:val="2"/>
          <w:numId w:val="3"/>
        </w:numPr>
        <w:tabs>
          <w:tab w:val="clear" w:pos="720"/>
          <w:tab w:val="left" w:pos="1260"/>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发行人及其董事、监事、高级管理人员应当保证上市申请文件真实、准确、完整，不存在虚假记载、误导性陈述或者重大遗漏。</w:t>
      </w:r>
    </w:p>
    <w:p w14:paraId="4BF34435" w14:textId="77777777" w:rsidR="000C29B8" w:rsidRDefault="00000000">
      <w:pPr>
        <w:numPr>
          <w:ilvl w:val="2"/>
          <w:numId w:val="3"/>
        </w:numPr>
        <w:tabs>
          <w:tab w:val="clear" w:pos="720"/>
          <w:tab w:val="left" w:pos="1260"/>
        </w:tabs>
        <w:autoSpaceDE w:val="0"/>
        <w:autoSpaceDN w:val="0"/>
        <w:adjustRightInd w:val="0"/>
        <w:snapToGrid w:val="0"/>
        <w:spacing w:line="560" w:lineRule="exact"/>
        <w:ind w:left="0" w:firstLineChars="200" w:firstLine="640"/>
        <w:rPr>
          <w:rFonts w:ascii="仿宋_GB2312" w:eastAsia="仿宋_GB2312" w:hAnsi="宋体" w:cs="宋体"/>
          <w:sz w:val="32"/>
          <w:szCs w:val="32"/>
        </w:rPr>
      </w:pPr>
      <w:r>
        <w:rPr>
          <w:rFonts w:ascii="仿宋_GB2312" w:eastAsia="仿宋_GB2312" w:hAnsi="宋体" w:hint="eastAsia"/>
          <w:sz w:val="32"/>
          <w:szCs w:val="32"/>
        </w:rPr>
        <w:t>本所收到发行人上市申请文件后</w:t>
      </w:r>
      <w:r>
        <w:rPr>
          <w:rFonts w:ascii="仿宋_GB2312" w:eastAsia="仿宋_GB2312" w:hAnsi="宋体"/>
          <w:sz w:val="32"/>
          <w:szCs w:val="32"/>
        </w:rPr>
        <w:t>5</w:t>
      </w:r>
      <w:r>
        <w:rPr>
          <w:rFonts w:ascii="仿宋_GB2312" w:eastAsia="仿宋_GB2312" w:hAnsi="宋体" w:hint="eastAsia"/>
          <w:sz w:val="32"/>
          <w:szCs w:val="32"/>
        </w:rPr>
        <w:t>个交易日内，</w:t>
      </w:r>
      <w:proofErr w:type="gramStart"/>
      <w:r>
        <w:rPr>
          <w:rFonts w:ascii="仿宋_GB2312" w:eastAsia="仿宋_GB2312" w:hAnsi="宋体" w:hint="eastAsia"/>
          <w:sz w:val="32"/>
          <w:szCs w:val="32"/>
        </w:rPr>
        <w:t>作出</w:t>
      </w:r>
      <w:proofErr w:type="gramEnd"/>
      <w:r>
        <w:rPr>
          <w:rFonts w:ascii="仿宋_GB2312" w:eastAsia="仿宋_GB2312" w:hAnsi="宋体" w:hint="eastAsia"/>
          <w:sz w:val="32"/>
          <w:szCs w:val="32"/>
        </w:rPr>
        <w:t>是否同意上市的决定。</w:t>
      </w:r>
    </w:p>
    <w:p w14:paraId="4E8C7BCC" w14:textId="77777777" w:rsidR="000C29B8" w:rsidRDefault="00000000">
      <w:pPr>
        <w:autoSpaceDE w:val="0"/>
        <w:autoSpaceDN w:val="0"/>
        <w:adjustRightInd w:val="0"/>
        <w:snapToGrid w:val="0"/>
        <w:spacing w:line="560" w:lineRule="exact"/>
        <w:rPr>
          <w:rFonts w:ascii="仿宋_GB2312" w:eastAsia="仿宋_GB2312" w:hAnsi="宋体" w:cs="宋体"/>
          <w:sz w:val="32"/>
          <w:szCs w:val="32"/>
        </w:rPr>
      </w:pPr>
      <w:r>
        <w:rPr>
          <w:rFonts w:ascii="仿宋_GB2312" w:eastAsia="仿宋_GB2312" w:hAnsi="宋体" w:hint="eastAsia"/>
          <w:sz w:val="32"/>
          <w:szCs w:val="32"/>
        </w:rPr>
        <w:t xml:space="preserve">    发行人发生</w:t>
      </w:r>
      <w:r>
        <w:rPr>
          <w:rFonts w:ascii="仿宋_GB2312" w:eastAsia="仿宋_GB2312" w:hint="eastAsia"/>
          <w:sz w:val="32"/>
          <w:szCs w:val="32"/>
        </w:rPr>
        <w:t>重大事项，对是否符合上市条件和信息披露要求产生重大影响的，本所可提请上市审核委员会（以下简称上市委员会）进行审议，审议时间不计入前款规定时限。</w:t>
      </w:r>
    </w:p>
    <w:p w14:paraId="7E761314" w14:textId="77777777" w:rsidR="000C29B8" w:rsidRDefault="00000000">
      <w:pPr>
        <w:numPr>
          <w:ilvl w:val="2"/>
          <w:numId w:val="3"/>
        </w:numPr>
        <w:tabs>
          <w:tab w:val="clear" w:pos="720"/>
          <w:tab w:val="left" w:pos="1260"/>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发行人应当于股票上市前5个交易日内，在指定媒体及本所网站上披露下列文件：</w:t>
      </w:r>
    </w:p>
    <w:p w14:paraId="12C6DB88" w14:textId="77777777" w:rsidR="000C29B8" w:rsidRDefault="00000000">
      <w:pPr>
        <w:autoSpaceDE w:val="0"/>
        <w:autoSpaceDN w:val="0"/>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（一）上市公告书；</w:t>
      </w:r>
    </w:p>
    <w:p w14:paraId="71E0AE38" w14:textId="77777777" w:rsidR="000C29B8" w:rsidRDefault="00000000">
      <w:pPr>
        <w:autoSpaceDE w:val="0"/>
        <w:autoSpaceDN w:val="0"/>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（二）公司章程；</w:t>
      </w:r>
    </w:p>
    <w:p w14:paraId="538894ED" w14:textId="77777777" w:rsidR="000C29B8" w:rsidRDefault="00000000">
      <w:pPr>
        <w:autoSpaceDE w:val="0"/>
        <w:autoSpaceDN w:val="0"/>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（三）本所要求的其他文件。</w:t>
      </w:r>
    </w:p>
    <w:p w14:paraId="39C6283B" w14:textId="77777777" w:rsidR="000C29B8" w:rsidRDefault="00000000">
      <w:pPr>
        <w:pStyle w:val="23"/>
        <w:numPr>
          <w:ilvl w:val="1"/>
          <w:numId w:val="1"/>
        </w:numPr>
        <w:ind w:left="0" w:firstLine="643"/>
      </w:pPr>
      <w:bookmarkStart w:id="4" w:name="_Toc3728"/>
      <w:r>
        <w:rPr>
          <w:rFonts w:hint="eastAsia"/>
        </w:rPr>
        <w:t>上市公司股票发行上市</w:t>
      </w:r>
      <w:bookmarkEnd w:id="4"/>
    </w:p>
    <w:p w14:paraId="02023B00" w14:textId="77777777" w:rsidR="000C29B8" w:rsidRDefault="00000000">
      <w:pPr>
        <w:numPr>
          <w:ilvl w:val="2"/>
          <w:numId w:val="5"/>
        </w:numPr>
        <w:tabs>
          <w:tab w:val="clear" w:pos="720"/>
          <w:tab w:val="left" w:pos="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上市公司依法公开发行股票的，可以在规定时间</w:t>
      </w:r>
      <w:r>
        <w:rPr>
          <w:rFonts w:ascii="仿宋_GB2312" w:eastAsia="仿宋_GB2312" w:hint="eastAsia"/>
          <w:sz w:val="32"/>
          <w:szCs w:val="32"/>
        </w:rPr>
        <w:lastRenderedPageBreak/>
        <w:t>内披露招股说明书、配股说明书等相关文件，并向本所申请办理股票公开发行、配股事宜。</w:t>
      </w:r>
    </w:p>
    <w:p w14:paraId="2A9E2121" w14:textId="77777777" w:rsidR="000C29B8" w:rsidRDefault="00000000">
      <w:pPr>
        <w:numPr>
          <w:ilvl w:val="2"/>
          <w:numId w:val="5"/>
        </w:numPr>
        <w:tabs>
          <w:tab w:val="clear" w:pos="720"/>
          <w:tab w:val="left" w:pos="0"/>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上市公司股票公开发行或配股结束并完成登记后，应当在股票上市前披露上市公告等相关文件，并向本所申请办理新增股份上市事宜。</w:t>
      </w:r>
    </w:p>
    <w:p w14:paraId="0F69B653" w14:textId="77777777" w:rsidR="000C29B8" w:rsidRDefault="00000000">
      <w:pPr>
        <w:numPr>
          <w:ilvl w:val="2"/>
          <w:numId w:val="5"/>
        </w:numPr>
        <w:tabs>
          <w:tab w:val="clear" w:pos="720"/>
          <w:tab w:val="left" w:pos="0"/>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int="eastAsia"/>
          <w:sz w:val="32"/>
          <w:szCs w:val="32"/>
        </w:rPr>
        <w:t>上市公司非公开发行股票结束并完成登记后，应当在股票上市前披露发行结果公告等相关文件，</w:t>
      </w:r>
      <w:r>
        <w:rPr>
          <w:rFonts w:ascii="仿宋_GB2312" w:eastAsia="仿宋_GB2312" w:hAnsi="宋体" w:hint="eastAsia"/>
          <w:sz w:val="32"/>
          <w:szCs w:val="32"/>
        </w:rPr>
        <w:t>并向本所申请办理新增股份上市事宜。</w:t>
      </w:r>
    </w:p>
    <w:p w14:paraId="658455A2" w14:textId="77777777" w:rsidR="000C29B8" w:rsidRDefault="00000000">
      <w:pPr>
        <w:pStyle w:val="23"/>
        <w:numPr>
          <w:ilvl w:val="1"/>
          <w:numId w:val="1"/>
        </w:numPr>
        <w:ind w:left="0" w:firstLine="643"/>
        <w:rPr>
          <w:rFonts w:hAnsi="宋体"/>
          <w:u w:val="single"/>
          <w:shd w:val="pct10" w:color="auto" w:fill="FFFFFF"/>
        </w:rPr>
      </w:pPr>
      <w:bookmarkStart w:id="5" w:name="_Toc21974"/>
      <w:r>
        <w:rPr>
          <w:rFonts w:hint="eastAsia"/>
        </w:rPr>
        <w:t>股份解除限售</w:t>
      </w:r>
      <w:bookmarkEnd w:id="5"/>
    </w:p>
    <w:p w14:paraId="20D60CA2" w14:textId="77777777" w:rsidR="000C29B8" w:rsidRDefault="00000000">
      <w:pPr>
        <w:numPr>
          <w:ilvl w:val="2"/>
          <w:numId w:val="6"/>
        </w:numPr>
        <w:tabs>
          <w:tab w:val="clear" w:pos="720"/>
          <w:tab w:val="left" w:pos="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下列股份符合解除限售条件的，股东可以通过上市公司申请解除限售：</w:t>
      </w:r>
    </w:p>
    <w:p w14:paraId="4EAF6217" w14:textId="77777777" w:rsidR="000C29B8" w:rsidRDefault="00000000">
      <w:pPr>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（一）发行人首次公开发行前已发行的股份（以下简称首发前股份）；</w:t>
      </w:r>
    </w:p>
    <w:p w14:paraId="3952F1E2" w14:textId="77777777" w:rsidR="000C29B8" w:rsidRDefault="00000000">
      <w:pPr>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（二）上市公司非公开发行的股份；</w:t>
      </w:r>
    </w:p>
    <w:p w14:paraId="3E1649A9" w14:textId="77777777" w:rsidR="000C29B8" w:rsidRDefault="00000000">
      <w:pPr>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（三）发行人、上市公司向证券投资基金、战略投资者及其他法人或者自然人配售的股份；</w:t>
      </w:r>
    </w:p>
    <w:p w14:paraId="7814BB12" w14:textId="77777777" w:rsidR="000C29B8" w:rsidRDefault="00000000">
      <w:pPr>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（四）董事、监事、高级管理人员以及核心技术人员等所持限售股份；</w:t>
      </w:r>
    </w:p>
    <w:p w14:paraId="4E59AA35" w14:textId="77777777" w:rsidR="000C29B8" w:rsidRDefault="00000000">
      <w:pPr>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（五）其他限售股份。</w:t>
      </w:r>
    </w:p>
    <w:p w14:paraId="60E39914" w14:textId="77777777" w:rsidR="000C29B8" w:rsidRDefault="00000000">
      <w:pPr>
        <w:numPr>
          <w:ilvl w:val="2"/>
          <w:numId w:val="6"/>
        </w:numPr>
        <w:tabs>
          <w:tab w:val="clear" w:pos="720"/>
          <w:tab w:val="left" w:pos="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上市公司申请股份解除限售，应当在限售解除前5个交易日披露提示性公告。</w:t>
      </w:r>
    </w:p>
    <w:p w14:paraId="16748EB4" w14:textId="77777777" w:rsidR="000C29B8" w:rsidRDefault="00000000">
      <w:pPr>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上市公司应当披露股东履行限售承诺的情况，保荐机构、</w:t>
      </w:r>
      <w:r>
        <w:rPr>
          <w:rFonts w:ascii="仿宋_GB2312" w:eastAsia="仿宋_GB2312" w:hAnsi="宋体" w:hint="eastAsia"/>
          <w:sz w:val="32"/>
          <w:szCs w:val="32"/>
        </w:rPr>
        <w:t>证券服务机构</w:t>
      </w:r>
      <w:r>
        <w:rPr>
          <w:rFonts w:ascii="仿宋_GB2312" w:eastAsia="仿宋_GB2312" w:hint="eastAsia"/>
          <w:sz w:val="32"/>
          <w:szCs w:val="32"/>
        </w:rPr>
        <w:t>应当发表意见并披露。</w:t>
      </w:r>
    </w:p>
    <w:p w14:paraId="10933B3A" w14:textId="77777777" w:rsidR="000C29B8" w:rsidRDefault="00000000">
      <w:pPr>
        <w:pStyle w:val="23"/>
        <w:numPr>
          <w:ilvl w:val="1"/>
          <w:numId w:val="1"/>
        </w:numPr>
        <w:ind w:left="0" w:firstLine="643"/>
      </w:pPr>
      <w:bookmarkStart w:id="6" w:name="_Toc530297505"/>
      <w:bookmarkStart w:id="7" w:name="_Toc530297481"/>
      <w:bookmarkStart w:id="8" w:name="_Toc530297490"/>
      <w:bookmarkStart w:id="9" w:name="_Toc530297480"/>
      <w:bookmarkStart w:id="10" w:name="_Toc530237021"/>
      <w:bookmarkStart w:id="11" w:name="_Toc530237008"/>
      <w:bookmarkStart w:id="12" w:name="_Toc530237007"/>
      <w:bookmarkStart w:id="13" w:name="_Toc530237029"/>
      <w:bookmarkStart w:id="14" w:name="_Toc530297507"/>
      <w:bookmarkStart w:id="15" w:name="_Toc530297496"/>
      <w:bookmarkStart w:id="16" w:name="_Toc530237019"/>
      <w:bookmarkStart w:id="17" w:name="_Toc530237022"/>
      <w:bookmarkStart w:id="18" w:name="_Toc530297492"/>
      <w:bookmarkStart w:id="19" w:name="_Toc530237012"/>
      <w:bookmarkStart w:id="20" w:name="_Toc530297501"/>
      <w:bookmarkStart w:id="21" w:name="_Toc530237030"/>
      <w:bookmarkStart w:id="22" w:name="_Toc530237031"/>
      <w:bookmarkStart w:id="23" w:name="_Toc530237027"/>
      <w:bookmarkStart w:id="24" w:name="_Toc530297486"/>
      <w:bookmarkStart w:id="25" w:name="_Toc530297487"/>
      <w:bookmarkStart w:id="26" w:name="_Toc530237020"/>
      <w:bookmarkStart w:id="27" w:name="_Toc530237013"/>
      <w:bookmarkStart w:id="28" w:name="_Toc530297502"/>
      <w:bookmarkStart w:id="29" w:name="_Toc530237011"/>
      <w:bookmarkStart w:id="30" w:name="_Toc530297494"/>
      <w:bookmarkStart w:id="31" w:name="_Toc530237026"/>
      <w:bookmarkStart w:id="32" w:name="_Toc530237010"/>
      <w:bookmarkStart w:id="33" w:name="_Toc530297483"/>
      <w:bookmarkStart w:id="34" w:name="_Toc530237016"/>
      <w:bookmarkStart w:id="35" w:name="_Toc530237018"/>
      <w:bookmarkStart w:id="36" w:name="_Toc530237009"/>
      <w:bookmarkStart w:id="37" w:name="_Toc530297500"/>
      <w:bookmarkStart w:id="38" w:name="_Toc530237023"/>
      <w:bookmarkStart w:id="39" w:name="_Toc530237025"/>
      <w:bookmarkStart w:id="40" w:name="_Toc530237015"/>
      <w:bookmarkStart w:id="41" w:name="_Toc530297503"/>
      <w:bookmarkStart w:id="42" w:name="_Toc530237024"/>
      <w:bookmarkStart w:id="43" w:name="_Toc530237006"/>
      <w:bookmarkStart w:id="44" w:name="_Toc530297506"/>
      <w:bookmarkStart w:id="45" w:name="_Toc530297489"/>
      <w:bookmarkStart w:id="46" w:name="_Toc530237005"/>
      <w:bookmarkStart w:id="47" w:name="_Toc530297499"/>
      <w:bookmarkStart w:id="48" w:name="_Toc530237028"/>
      <w:bookmarkStart w:id="49" w:name="_Toc530297493"/>
      <w:bookmarkStart w:id="50" w:name="_Toc530297495"/>
      <w:bookmarkStart w:id="51" w:name="_Toc530297484"/>
      <w:bookmarkStart w:id="52" w:name="_Toc530297482"/>
      <w:bookmarkStart w:id="53" w:name="_Toc530297497"/>
      <w:bookmarkStart w:id="54" w:name="_Toc530237032"/>
      <w:bookmarkStart w:id="55" w:name="_Toc530297491"/>
      <w:bookmarkStart w:id="56" w:name="_Toc530297479"/>
      <w:bookmarkStart w:id="57" w:name="_Toc530237014"/>
      <w:bookmarkStart w:id="58" w:name="_Toc530297498"/>
      <w:bookmarkStart w:id="59" w:name="_Toc530297488"/>
      <w:bookmarkStart w:id="60" w:name="_Toc530237004"/>
      <w:bookmarkStart w:id="61" w:name="_Toc530297504"/>
      <w:bookmarkStart w:id="62" w:name="_Toc530297485"/>
      <w:bookmarkStart w:id="63" w:name="_Toc530237017"/>
      <w:bookmarkStart w:id="64" w:name="_Toc19123"/>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Pr>
          <w:rFonts w:hint="eastAsia"/>
        </w:rPr>
        <w:lastRenderedPageBreak/>
        <w:t>股份减持</w:t>
      </w:r>
      <w:bookmarkEnd w:id="64"/>
    </w:p>
    <w:p w14:paraId="7B53DD82" w14:textId="77777777" w:rsidR="000C29B8" w:rsidRDefault="00000000">
      <w:pPr>
        <w:numPr>
          <w:ilvl w:val="2"/>
          <w:numId w:val="7"/>
        </w:numPr>
        <w:tabs>
          <w:tab w:val="left" w:pos="0"/>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上市公司股份的限售与减持，适用本规则；本规则未规定的，适用</w:t>
      </w:r>
      <w:r>
        <w:rPr>
          <w:rFonts w:ascii="仿宋_GB2312" w:eastAsia="仿宋_GB2312" w:hint="eastAsia"/>
          <w:sz w:val="32"/>
          <w:szCs w:val="32"/>
        </w:rPr>
        <w:t>《上海证券交易所上市公司股东及董事、监事、高级管理人员减持股份实施细则》（以下简称《减持细则》）、《上海证券交易所上市公司创业投资基金股东减持股份实施细则》</w:t>
      </w:r>
      <w:r>
        <w:rPr>
          <w:rFonts w:ascii="仿宋_GB2312" w:eastAsia="仿宋_GB2312" w:hAnsi="宋体" w:hint="eastAsia"/>
          <w:sz w:val="32"/>
          <w:szCs w:val="32"/>
        </w:rPr>
        <w:t>及本所其他有关规定。</w:t>
      </w:r>
    </w:p>
    <w:p w14:paraId="5B65C254" w14:textId="77777777" w:rsidR="000C29B8" w:rsidRDefault="00000000">
      <w:pPr>
        <w:tabs>
          <w:tab w:val="left" w:pos="1560"/>
        </w:tabs>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上市公司股东可以通过非公开转让、配售方式转让首发前股份，转让的方式、程序、价格、比例以及后续转让等事项，以及</w:t>
      </w:r>
      <w:r>
        <w:rPr>
          <w:rFonts w:ascii="仿宋_GB2312" w:eastAsia="仿宋_GB2312" w:hAnsi="宋体" w:hint="eastAsia"/>
          <w:sz w:val="32"/>
          <w:szCs w:val="32"/>
        </w:rPr>
        <w:t>上市公司非公开发行股份涉及的减持由本所另行规定</w:t>
      </w:r>
      <w:r>
        <w:rPr>
          <w:rFonts w:ascii="仿宋_GB2312" w:eastAsia="仿宋_GB2312" w:hint="eastAsia"/>
          <w:sz w:val="32"/>
          <w:szCs w:val="32"/>
        </w:rPr>
        <w:t>，报中国证监会批准后实施。</w:t>
      </w:r>
    </w:p>
    <w:p w14:paraId="69DD0554" w14:textId="77777777" w:rsidR="000C29B8" w:rsidRDefault="00000000">
      <w:pPr>
        <w:numPr>
          <w:ilvl w:val="2"/>
          <w:numId w:val="7"/>
        </w:numPr>
        <w:tabs>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公司股东持有的首发前股份,可以在公司上市前托管在为公司提供首次公开发行上市保荐服务的保荐机构，并由保荐机构按照本所业务规则的规定，对股东减持首发前股份的交易委托进行监督管理。</w:t>
      </w:r>
    </w:p>
    <w:p w14:paraId="5F22482C" w14:textId="77777777" w:rsidR="000C29B8" w:rsidRDefault="00000000">
      <w:pPr>
        <w:numPr>
          <w:ilvl w:val="2"/>
          <w:numId w:val="7"/>
        </w:numPr>
        <w:tabs>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Ansi="黑体" w:hint="eastAsia"/>
          <w:sz w:val="32"/>
          <w:szCs w:val="32"/>
        </w:rPr>
        <w:t>公司上市时未盈利的，在公司实现盈利前，控股股东、实际控制人自公司股票上市之日起3个完整会计年度内，不得减持首发前股份；自公司股票上市之日起第4个会计年度和第5</w:t>
      </w:r>
      <w:r>
        <w:rPr>
          <w:rFonts w:ascii="仿宋_GB2312" w:eastAsia="仿宋_GB2312" w:hint="eastAsia"/>
          <w:sz w:val="32"/>
          <w:szCs w:val="32"/>
        </w:rPr>
        <w:t>个会计年度内，每年减持的首发前股份不得超过公司股份总数的2%，并应当符合《减持细则》关于减持股份的相关规定。</w:t>
      </w:r>
    </w:p>
    <w:p w14:paraId="4137A5F6" w14:textId="77777777" w:rsidR="000C29B8" w:rsidRDefault="00000000">
      <w:pPr>
        <w:tabs>
          <w:tab w:val="left" w:pos="1560"/>
        </w:tabs>
        <w:autoSpaceDE w:val="0"/>
        <w:autoSpaceDN w:val="0"/>
        <w:adjustRightInd w:val="0"/>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公司上市时未盈利的，在公司实现盈利前，董事、监事、高级管理人员及核心技术人员自公司股票上市之日起3个完整会计年度内，不得减持首发前股份；在前述期间内离职的，应当继续遵守本款规定。</w:t>
      </w:r>
    </w:p>
    <w:p w14:paraId="0EE6B060" w14:textId="77777777" w:rsidR="000C29B8" w:rsidRDefault="00000000">
      <w:pPr>
        <w:tabs>
          <w:tab w:val="left" w:pos="1560"/>
        </w:tabs>
        <w:autoSpaceDE w:val="0"/>
        <w:autoSpaceDN w:val="0"/>
        <w:adjustRightInd w:val="0"/>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公司实现盈利后，前两款规定的股东可以自当年年度报告披露后次日起减持首发前股份，但应当遵守本节其他规定。</w:t>
      </w:r>
    </w:p>
    <w:p w14:paraId="43091CD4" w14:textId="77777777" w:rsidR="000C29B8" w:rsidRDefault="00000000">
      <w:pPr>
        <w:numPr>
          <w:ilvl w:val="2"/>
          <w:numId w:val="7"/>
        </w:numPr>
        <w:tabs>
          <w:tab w:val="left" w:pos="0"/>
          <w:tab w:val="left" w:pos="1560"/>
        </w:tabs>
        <w:autoSpaceDE w:val="0"/>
        <w:autoSpaceDN w:val="0"/>
        <w:adjustRightInd w:val="0"/>
        <w:snapToGrid w:val="0"/>
        <w:spacing w:line="560" w:lineRule="exact"/>
        <w:ind w:left="0" w:firstLineChars="200" w:firstLine="640"/>
        <w:rPr>
          <w:rFonts w:ascii="仿宋_GB2312" w:eastAsia="仿宋_GB2312" w:hAnsi="宋体" w:cs="宋体"/>
          <w:sz w:val="32"/>
          <w:szCs w:val="32"/>
        </w:rPr>
      </w:pPr>
      <w:r>
        <w:rPr>
          <w:rFonts w:ascii="仿宋_GB2312" w:eastAsia="仿宋_GB2312" w:hAnsi="黑体" w:hint="eastAsia"/>
          <w:sz w:val="32"/>
          <w:szCs w:val="32"/>
        </w:rPr>
        <w:t>上市公司</w:t>
      </w:r>
      <w:r>
        <w:rPr>
          <w:rFonts w:ascii="仿宋_GB2312" w:eastAsia="仿宋_GB2312" w:hAnsi="宋体" w:hint="eastAsia"/>
          <w:sz w:val="32"/>
          <w:szCs w:val="32"/>
        </w:rPr>
        <w:t>控股股东、实际控制人减持本公司首发前股份的，应当遵守下列规定：</w:t>
      </w:r>
    </w:p>
    <w:p w14:paraId="4FA3D592" w14:textId="77777777" w:rsidR="000C29B8" w:rsidRDefault="00000000">
      <w:pPr>
        <w:tabs>
          <w:tab w:val="left" w:pos="1560"/>
        </w:tabs>
        <w:autoSpaceDE w:val="0"/>
        <w:autoSpaceDN w:val="0"/>
        <w:adjustRightInd w:val="0"/>
        <w:snapToGrid w:val="0"/>
        <w:spacing w:line="560" w:lineRule="exact"/>
        <w:ind w:firstLineChars="200" w:firstLine="640"/>
        <w:rPr>
          <w:rFonts w:ascii="仿宋_GB2312" w:eastAsia="仿宋_GB2312" w:hAnsi="宋体" w:cs="宋体"/>
          <w:sz w:val="32"/>
          <w:szCs w:val="32"/>
        </w:rPr>
      </w:pPr>
      <w:r>
        <w:rPr>
          <w:rFonts w:ascii="仿宋_GB2312" w:eastAsia="仿宋_GB2312" w:hAnsi="宋体" w:hint="eastAsia"/>
          <w:sz w:val="32"/>
          <w:szCs w:val="32"/>
        </w:rPr>
        <w:t>（一）自公司股票上市之日起36个月内，不得转让或者委托他人管理其直接和间接持有的首发前股份</w:t>
      </w:r>
      <w:r>
        <w:rPr>
          <w:rFonts w:ascii="仿宋_GB2312" w:eastAsia="仿宋_GB2312" w:hAnsi="宋体" w:cs="宋体" w:hint="eastAsia"/>
          <w:sz w:val="32"/>
          <w:szCs w:val="32"/>
        </w:rPr>
        <w:t>，也不得提议由上市公司回购该部分股份；</w:t>
      </w:r>
    </w:p>
    <w:p w14:paraId="5B4512BC" w14:textId="77777777" w:rsidR="000C29B8" w:rsidRDefault="00000000">
      <w:pPr>
        <w:tabs>
          <w:tab w:val="left" w:pos="1560"/>
        </w:tabs>
        <w:autoSpaceDE w:val="0"/>
        <w:autoSpaceDN w:val="0"/>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（二）法律法规、本规则以及本所业务规则对控股股东、实际控制人股份转让的其他规定。</w:t>
      </w:r>
    </w:p>
    <w:p w14:paraId="03ECA831" w14:textId="77777777" w:rsidR="000C29B8" w:rsidRDefault="00000000">
      <w:pPr>
        <w:tabs>
          <w:tab w:val="left" w:pos="1560"/>
        </w:tabs>
        <w:autoSpaceDE w:val="0"/>
        <w:autoSpaceDN w:val="0"/>
        <w:adjustRightInd w:val="0"/>
        <w:snapToGrid w:val="0"/>
        <w:spacing w:line="560" w:lineRule="exact"/>
        <w:ind w:firstLineChars="200" w:firstLine="640"/>
        <w:rPr>
          <w:rFonts w:ascii="仿宋_GB2312" w:eastAsia="仿宋_GB2312" w:hAnsi="宋体" w:cs="宋体"/>
          <w:sz w:val="32"/>
          <w:szCs w:val="32"/>
        </w:rPr>
      </w:pPr>
      <w:r>
        <w:rPr>
          <w:rFonts w:ascii="仿宋_GB2312" w:eastAsia="仿宋_GB2312" w:hAnsi="宋体" w:hint="eastAsia"/>
          <w:sz w:val="32"/>
          <w:szCs w:val="32"/>
        </w:rPr>
        <w:t>发行人向本所申请其股票首次公开发行并上市时，控股股东、实际控制人应当承诺遵守前款规定。</w:t>
      </w:r>
      <w:r>
        <w:rPr>
          <w:rFonts w:ascii="仿宋_GB2312" w:eastAsia="仿宋_GB2312" w:hAnsi="宋体" w:cs="宋体" w:hint="eastAsia"/>
          <w:sz w:val="32"/>
          <w:szCs w:val="32"/>
        </w:rPr>
        <w:t xml:space="preserve"> </w:t>
      </w:r>
    </w:p>
    <w:p w14:paraId="28FD16E0" w14:textId="77777777" w:rsidR="000C29B8" w:rsidRDefault="00000000">
      <w:pPr>
        <w:tabs>
          <w:tab w:val="left" w:pos="1080"/>
        </w:tabs>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转让双方存在控制关系或者受同一实际控制人控制的，自发行人股票上市之日起12个月后，可豁免遵守本条第一款规定。</w:t>
      </w:r>
    </w:p>
    <w:p w14:paraId="10635643" w14:textId="77777777" w:rsidR="000C29B8" w:rsidRDefault="00000000">
      <w:pPr>
        <w:numPr>
          <w:ilvl w:val="2"/>
          <w:numId w:val="7"/>
        </w:numPr>
        <w:tabs>
          <w:tab w:val="left" w:pos="0"/>
          <w:tab w:val="left" w:pos="1560"/>
        </w:tabs>
        <w:autoSpaceDE w:val="0"/>
        <w:autoSpaceDN w:val="0"/>
        <w:adjustRightInd w:val="0"/>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上市公司核心技术人员减持本公司首发前股份的，应当遵守下列规定：</w:t>
      </w:r>
    </w:p>
    <w:p w14:paraId="4DF0F55F" w14:textId="77777777" w:rsidR="000C29B8" w:rsidRDefault="00000000">
      <w:pPr>
        <w:tabs>
          <w:tab w:val="left" w:pos="1560"/>
        </w:tabs>
        <w:autoSpaceDE w:val="0"/>
        <w:autoSpaceDN w:val="0"/>
        <w:adjustRightInd w:val="0"/>
        <w:snapToGrid w:val="0"/>
        <w:spacing w:line="560" w:lineRule="exact"/>
        <w:ind w:firstLineChars="200" w:firstLine="640"/>
        <w:rPr>
          <w:rFonts w:ascii="仿宋_GB2312" w:eastAsia="仿宋_GB2312" w:hAnsi="黑体"/>
          <w:sz w:val="32"/>
          <w:szCs w:val="32"/>
        </w:rPr>
      </w:pPr>
      <w:r>
        <w:rPr>
          <w:rFonts w:ascii="仿宋_GB2312" w:eastAsia="仿宋_GB2312" w:hAnsi="宋体" w:hint="eastAsia"/>
          <w:sz w:val="32"/>
          <w:szCs w:val="32"/>
        </w:rPr>
        <w:t>（一）</w:t>
      </w:r>
      <w:r>
        <w:rPr>
          <w:rFonts w:ascii="仿宋_GB2312" w:eastAsia="仿宋_GB2312" w:hAnsi="黑体" w:hint="eastAsia"/>
          <w:sz w:val="32"/>
          <w:szCs w:val="32"/>
        </w:rPr>
        <w:t>自公司股票上市之日起12个月内和离职后6个月内不得转让本公司首发前股份；</w:t>
      </w:r>
    </w:p>
    <w:p w14:paraId="30021DB9" w14:textId="77777777" w:rsidR="000C29B8" w:rsidRDefault="00000000">
      <w:pPr>
        <w:tabs>
          <w:tab w:val="left" w:pos="1560"/>
        </w:tabs>
        <w:autoSpaceDE w:val="0"/>
        <w:autoSpaceDN w:val="0"/>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黑体" w:hint="eastAsia"/>
          <w:sz w:val="32"/>
          <w:szCs w:val="32"/>
        </w:rPr>
        <w:t>（二）自所持首发前股份限售期满之日起4年内，每年转让的首发前股份不得</w:t>
      </w:r>
      <w:r>
        <w:rPr>
          <w:rFonts w:ascii="仿宋_GB2312" w:eastAsia="仿宋_GB2312" w:hAnsi="宋体" w:hint="eastAsia"/>
          <w:sz w:val="32"/>
          <w:szCs w:val="32"/>
        </w:rPr>
        <w:t>超过上市时所持公司首发前股份总数的25%，减</w:t>
      </w:r>
      <w:proofErr w:type="gramStart"/>
      <w:r>
        <w:rPr>
          <w:rFonts w:ascii="仿宋_GB2312" w:eastAsia="仿宋_GB2312" w:hAnsi="宋体" w:hint="eastAsia"/>
          <w:sz w:val="32"/>
          <w:szCs w:val="32"/>
        </w:rPr>
        <w:t>持比例</w:t>
      </w:r>
      <w:proofErr w:type="gramEnd"/>
      <w:r>
        <w:rPr>
          <w:rFonts w:ascii="仿宋_GB2312" w:eastAsia="仿宋_GB2312" w:hAnsi="宋体" w:hint="eastAsia"/>
          <w:sz w:val="32"/>
          <w:szCs w:val="32"/>
        </w:rPr>
        <w:t>可以累积使用；</w:t>
      </w:r>
    </w:p>
    <w:p w14:paraId="5C3AFE60" w14:textId="77777777" w:rsidR="000C29B8" w:rsidRDefault="00000000">
      <w:pPr>
        <w:tabs>
          <w:tab w:val="left" w:pos="1560"/>
        </w:tabs>
        <w:autoSpaceDE w:val="0"/>
        <w:autoSpaceDN w:val="0"/>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（三）法律法规、本规则以及本所业务规则对核心技术人员股份转让的其他规定。</w:t>
      </w:r>
    </w:p>
    <w:p w14:paraId="5E3D7D3E" w14:textId="77777777" w:rsidR="000C29B8" w:rsidRDefault="00000000">
      <w:pPr>
        <w:numPr>
          <w:ilvl w:val="2"/>
          <w:numId w:val="7"/>
        </w:numPr>
        <w:tabs>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Ansi="黑体" w:hint="eastAsia"/>
          <w:sz w:val="32"/>
          <w:szCs w:val="32"/>
        </w:rPr>
        <w:t>上市公司控股股东、实际控制人在限售期满后减</w:t>
      </w:r>
      <w:r>
        <w:rPr>
          <w:rFonts w:ascii="仿宋_GB2312" w:eastAsia="仿宋_GB2312" w:hAnsi="黑体" w:hint="eastAsia"/>
          <w:sz w:val="32"/>
          <w:szCs w:val="32"/>
        </w:rPr>
        <w:lastRenderedPageBreak/>
        <w:t>持首发前股份的，应当明确并披露公司的控制权安排，保证上市公司持续稳定经营。</w:t>
      </w:r>
    </w:p>
    <w:p w14:paraId="77FAA197" w14:textId="77777777" w:rsidR="000C29B8" w:rsidRDefault="00000000">
      <w:pPr>
        <w:numPr>
          <w:ilvl w:val="2"/>
          <w:numId w:val="7"/>
        </w:numPr>
        <w:tabs>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上市公司存在本</w:t>
      </w:r>
      <w:proofErr w:type="gramStart"/>
      <w:r>
        <w:rPr>
          <w:rFonts w:ascii="仿宋_GB2312" w:eastAsia="仿宋_GB2312" w:hint="eastAsia"/>
          <w:sz w:val="32"/>
          <w:szCs w:val="32"/>
        </w:rPr>
        <w:t>规则第十二</w:t>
      </w:r>
      <w:proofErr w:type="gramEnd"/>
      <w:r>
        <w:rPr>
          <w:rFonts w:ascii="仿宋_GB2312" w:eastAsia="仿宋_GB2312" w:hint="eastAsia"/>
          <w:sz w:val="32"/>
          <w:szCs w:val="32"/>
        </w:rPr>
        <w:t>章第二节规定的重大违法情形，触及退市标准的，自相关行政处罚决定事先告知书或者司法裁判</w:t>
      </w:r>
      <w:proofErr w:type="gramStart"/>
      <w:r>
        <w:rPr>
          <w:rFonts w:ascii="仿宋_GB2312" w:eastAsia="仿宋_GB2312" w:hint="eastAsia"/>
          <w:sz w:val="32"/>
          <w:szCs w:val="32"/>
        </w:rPr>
        <w:t>作出</w:t>
      </w:r>
      <w:proofErr w:type="gramEnd"/>
      <w:r>
        <w:rPr>
          <w:rFonts w:ascii="仿宋_GB2312" w:eastAsia="仿宋_GB2312" w:hint="eastAsia"/>
          <w:sz w:val="32"/>
          <w:szCs w:val="32"/>
        </w:rPr>
        <w:t>之日起至公司股票终止上市并摘牌，控股股东、实际控制人、董事、监事、高级管理人员不得减持公司股份。</w:t>
      </w:r>
    </w:p>
    <w:p w14:paraId="65161789" w14:textId="77777777" w:rsidR="000C29B8" w:rsidRDefault="00000000">
      <w:pPr>
        <w:numPr>
          <w:ilvl w:val="2"/>
          <w:numId w:val="7"/>
        </w:numPr>
        <w:tabs>
          <w:tab w:val="left" w:pos="0"/>
          <w:tab w:val="left" w:pos="1560"/>
        </w:tabs>
        <w:autoSpaceDE w:val="0"/>
        <w:autoSpaceDN w:val="0"/>
        <w:adjustRightInd w:val="0"/>
        <w:snapToGrid w:val="0"/>
        <w:spacing w:line="560" w:lineRule="exact"/>
        <w:ind w:left="0" w:firstLineChars="200" w:firstLine="640"/>
        <w:rPr>
          <w:rFonts w:ascii="仿宋_GB2312" w:eastAsia="仿宋_GB2312" w:hAnsi="Calibri"/>
          <w:sz w:val="32"/>
          <w:szCs w:val="32"/>
        </w:rPr>
      </w:pPr>
      <w:r>
        <w:rPr>
          <w:rFonts w:ascii="仿宋_GB2312" w:eastAsia="仿宋_GB2312" w:hint="eastAsia"/>
          <w:sz w:val="32"/>
          <w:szCs w:val="32"/>
        </w:rPr>
        <w:t>上市公司控股股东、实际控制人减持股份，依照《减持细则》披露减</w:t>
      </w:r>
      <w:proofErr w:type="gramStart"/>
      <w:r>
        <w:rPr>
          <w:rFonts w:ascii="仿宋_GB2312" w:eastAsia="仿宋_GB2312" w:hint="eastAsia"/>
          <w:sz w:val="32"/>
          <w:szCs w:val="32"/>
        </w:rPr>
        <w:t>持计划</w:t>
      </w:r>
      <w:proofErr w:type="gramEnd"/>
      <w:r>
        <w:rPr>
          <w:rFonts w:ascii="仿宋_GB2312" w:eastAsia="仿宋_GB2312" w:hint="eastAsia"/>
          <w:sz w:val="32"/>
          <w:szCs w:val="32"/>
        </w:rPr>
        <w:t>的，还应当在减</w:t>
      </w:r>
      <w:proofErr w:type="gramStart"/>
      <w:r>
        <w:rPr>
          <w:rFonts w:ascii="仿宋_GB2312" w:eastAsia="仿宋_GB2312" w:hint="eastAsia"/>
          <w:sz w:val="32"/>
          <w:szCs w:val="32"/>
        </w:rPr>
        <w:t>持计划</w:t>
      </w:r>
      <w:proofErr w:type="gramEnd"/>
      <w:r>
        <w:rPr>
          <w:rFonts w:ascii="仿宋_GB2312" w:eastAsia="仿宋_GB2312" w:hint="eastAsia"/>
          <w:sz w:val="32"/>
          <w:szCs w:val="32"/>
        </w:rPr>
        <w:t>中披露上市公司是否存在重大负面事项、重大风险、控股股东或者实际控制人认为应当说明的事项，以及本所要求披露的其他内容</w:t>
      </w:r>
      <w:r>
        <w:rPr>
          <w:rFonts w:ascii="仿宋_GB2312" w:eastAsia="仿宋_GB2312" w:hAnsi="Calibri" w:hint="eastAsia"/>
          <w:sz w:val="32"/>
          <w:szCs w:val="32"/>
        </w:rPr>
        <w:t>。</w:t>
      </w:r>
    </w:p>
    <w:p w14:paraId="1B91E260" w14:textId="77777777" w:rsidR="000C29B8" w:rsidRDefault="00000000">
      <w:pPr>
        <w:numPr>
          <w:ilvl w:val="2"/>
          <w:numId w:val="7"/>
        </w:numPr>
        <w:tabs>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上市公司股东所持股</w:t>
      </w:r>
      <w:proofErr w:type="gramStart"/>
      <w:r>
        <w:rPr>
          <w:rFonts w:ascii="仿宋_GB2312" w:eastAsia="仿宋_GB2312" w:hint="eastAsia"/>
          <w:sz w:val="32"/>
          <w:szCs w:val="32"/>
        </w:rPr>
        <w:t>份应当</w:t>
      </w:r>
      <w:proofErr w:type="gramEnd"/>
      <w:r>
        <w:rPr>
          <w:rFonts w:ascii="仿宋_GB2312" w:eastAsia="仿宋_GB2312" w:hint="eastAsia"/>
          <w:sz w:val="32"/>
          <w:szCs w:val="32"/>
        </w:rPr>
        <w:t>与其一致行动人所持股份合并计算。一致行动人的认定适用《上市公司收购管理办法》的规定。</w:t>
      </w:r>
    </w:p>
    <w:p w14:paraId="46A63D2A" w14:textId="77777777" w:rsidR="000C29B8" w:rsidRDefault="00000000">
      <w:pPr>
        <w:tabs>
          <w:tab w:val="left" w:pos="1560"/>
        </w:tabs>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上市公司第一大股东应当参照适用本节关于控股股东的规定。</w:t>
      </w:r>
    </w:p>
    <w:p w14:paraId="72854840" w14:textId="77777777" w:rsidR="000C29B8" w:rsidRDefault="00000000">
      <w:pPr>
        <w:tabs>
          <w:tab w:val="left" w:pos="1560"/>
        </w:tabs>
        <w:autoSpaceDE w:val="0"/>
        <w:autoSpaceDN w:val="0"/>
        <w:adjustRightInd w:val="0"/>
        <w:snapToGrid w:val="0"/>
        <w:spacing w:line="560" w:lineRule="exact"/>
        <w:ind w:firstLineChars="200" w:firstLine="640"/>
        <w:rPr>
          <w:rFonts w:ascii="仿宋_GB2312" w:eastAsia="仿宋_GB2312" w:hAnsi="Calibri"/>
          <w:sz w:val="32"/>
          <w:szCs w:val="32"/>
        </w:rPr>
      </w:pPr>
      <w:r>
        <w:rPr>
          <w:rFonts w:ascii="仿宋_GB2312" w:eastAsia="仿宋_GB2312" w:hAnsi="仿宋" w:hint="eastAsia"/>
          <w:sz w:val="32"/>
          <w:szCs w:val="32"/>
        </w:rPr>
        <w:t>发行人的高级管理人员与核心员工设立的专项资产管理计划，通过</w:t>
      </w:r>
      <w:r>
        <w:rPr>
          <w:rFonts w:ascii="仿宋_GB2312" w:eastAsia="仿宋_GB2312" w:hint="eastAsia"/>
          <w:sz w:val="32"/>
          <w:szCs w:val="32"/>
        </w:rPr>
        <w:t>集中竞价、大宗交易等方式在二级市场</w:t>
      </w:r>
      <w:r>
        <w:rPr>
          <w:rFonts w:ascii="仿宋_GB2312" w:eastAsia="仿宋_GB2312" w:hAnsi="Calibri" w:hint="eastAsia"/>
          <w:sz w:val="32"/>
          <w:szCs w:val="32"/>
        </w:rPr>
        <w:t>减</w:t>
      </w:r>
      <w:proofErr w:type="gramStart"/>
      <w:r>
        <w:rPr>
          <w:rFonts w:ascii="仿宋_GB2312" w:eastAsia="仿宋_GB2312" w:hAnsi="Calibri" w:hint="eastAsia"/>
          <w:sz w:val="32"/>
          <w:szCs w:val="32"/>
        </w:rPr>
        <w:t>持</w:t>
      </w:r>
      <w:r>
        <w:rPr>
          <w:rFonts w:ascii="仿宋_GB2312" w:eastAsia="仿宋_GB2312" w:hAnsi="仿宋" w:hint="eastAsia"/>
          <w:sz w:val="32"/>
          <w:szCs w:val="32"/>
        </w:rPr>
        <w:t>参与</w:t>
      </w:r>
      <w:proofErr w:type="gramEnd"/>
      <w:r>
        <w:rPr>
          <w:rFonts w:ascii="仿宋_GB2312" w:eastAsia="仿宋_GB2312" w:hAnsi="仿宋" w:hint="eastAsia"/>
          <w:sz w:val="32"/>
          <w:szCs w:val="32"/>
        </w:rPr>
        <w:t>战略配售获配股份的，应当按照本规则关于</w:t>
      </w:r>
      <w:r>
        <w:rPr>
          <w:rFonts w:ascii="仿宋_GB2312" w:eastAsia="仿宋_GB2312" w:hint="eastAsia"/>
          <w:sz w:val="32"/>
          <w:szCs w:val="32"/>
        </w:rPr>
        <w:t>上市公司股东</w:t>
      </w:r>
      <w:r>
        <w:rPr>
          <w:rFonts w:ascii="仿宋_GB2312" w:eastAsia="仿宋_GB2312" w:hAnsi="Calibri" w:hint="eastAsia"/>
          <w:sz w:val="32"/>
          <w:szCs w:val="32"/>
        </w:rPr>
        <w:t>减持首发前股份的规定履行相应信息披露义务。</w:t>
      </w:r>
    </w:p>
    <w:p w14:paraId="7E31B0D6" w14:textId="77777777" w:rsidR="000C29B8" w:rsidRDefault="000C29B8">
      <w:pPr>
        <w:pStyle w:val="a0"/>
      </w:pPr>
    </w:p>
    <w:p w14:paraId="535A1008" w14:textId="77777777" w:rsidR="000C29B8" w:rsidRDefault="00000000">
      <w:pPr>
        <w:pStyle w:val="6"/>
        <w:rPr>
          <w:b/>
        </w:rPr>
      </w:pPr>
      <w:bookmarkStart w:id="65" w:name="_Toc12094"/>
      <w:r>
        <w:rPr>
          <w:rFonts w:hint="eastAsia"/>
        </w:rPr>
        <w:t>持续督导</w:t>
      </w:r>
      <w:bookmarkEnd w:id="65"/>
    </w:p>
    <w:p w14:paraId="4125DA59" w14:textId="77777777" w:rsidR="000C29B8" w:rsidRDefault="00000000">
      <w:pPr>
        <w:pStyle w:val="23"/>
        <w:numPr>
          <w:ilvl w:val="1"/>
          <w:numId w:val="1"/>
        </w:numPr>
        <w:ind w:left="0" w:firstLine="643"/>
      </w:pPr>
      <w:bookmarkStart w:id="66" w:name="_Toc530093692"/>
      <w:bookmarkStart w:id="67" w:name="_Toc3749"/>
      <w:bookmarkEnd w:id="66"/>
      <w:r>
        <w:rPr>
          <w:rFonts w:hint="eastAsia"/>
        </w:rPr>
        <w:t>一般规定</w:t>
      </w:r>
      <w:bookmarkEnd w:id="67"/>
    </w:p>
    <w:p w14:paraId="64366132" w14:textId="77777777" w:rsidR="000C29B8" w:rsidRDefault="00000000">
      <w:pPr>
        <w:pStyle w:val="afa"/>
        <w:numPr>
          <w:ilvl w:val="0"/>
          <w:numId w:val="8"/>
        </w:numPr>
        <w:tabs>
          <w:tab w:val="left" w:pos="1418"/>
        </w:tabs>
        <w:spacing w:line="560" w:lineRule="exact"/>
        <w:ind w:left="0" w:firstLine="640"/>
        <w:rPr>
          <w:rFonts w:ascii="仿宋_GB2312" w:hAnsi="宋体"/>
          <w:sz w:val="32"/>
          <w:szCs w:val="32"/>
        </w:rPr>
      </w:pPr>
      <w:r>
        <w:rPr>
          <w:rFonts w:ascii="仿宋_GB2312" w:hAnsi="宋体" w:hint="eastAsia"/>
          <w:sz w:val="32"/>
          <w:szCs w:val="32"/>
        </w:rPr>
        <w:t>为发行人首次公开发行股票提供保荐服务的保</w:t>
      </w:r>
      <w:r>
        <w:rPr>
          <w:rFonts w:ascii="仿宋_GB2312" w:hAnsi="宋体" w:hint="eastAsia"/>
          <w:sz w:val="32"/>
          <w:szCs w:val="32"/>
        </w:rPr>
        <w:lastRenderedPageBreak/>
        <w:t>荐机构，应当对发行人进行持续督导。</w:t>
      </w:r>
    </w:p>
    <w:p w14:paraId="153BA557" w14:textId="77777777" w:rsidR="000C29B8" w:rsidRDefault="00000000">
      <w:pPr>
        <w:spacing w:line="560" w:lineRule="exact"/>
        <w:ind w:firstLineChars="200" w:firstLine="640"/>
        <w:rPr>
          <w:sz w:val="32"/>
          <w:szCs w:val="32"/>
        </w:rPr>
      </w:pPr>
      <w:r>
        <w:rPr>
          <w:rFonts w:ascii="仿宋_GB2312" w:eastAsia="仿宋_GB2312" w:hAnsi="宋体" w:hint="eastAsia"/>
          <w:sz w:val="32"/>
          <w:szCs w:val="32"/>
        </w:rPr>
        <w:t>上市公司发行股份和重大资产重组的持续督导事宜，按照中国证监会和本所有关规定执行。</w:t>
      </w:r>
    </w:p>
    <w:p w14:paraId="2C42BCD8" w14:textId="77777777" w:rsidR="000C29B8" w:rsidRDefault="00000000">
      <w:pPr>
        <w:pStyle w:val="afa"/>
        <w:numPr>
          <w:ilvl w:val="0"/>
          <w:numId w:val="8"/>
        </w:numPr>
        <w:tabs>
          <w:tab w:val="left" w:pos="1418"/>
        </w:tabs>
        <w:spacing w:line="560" w:lineRule="exact"/>
        <w:ind w:left="0" w:firstLine="640"/>
        <w:rPr>
          <w:rFonts w:ascii="仿宋_GB2312" w:hAnsi="宋体"/>
          <w:sz w:val="32"/>
          <w:szCs w:val="32"/>
        </w:rPr>
      </w:pPr>
      <w:r>
        <w:rPr>
          <w:rFonts w:ascii="仿宋_GB2312" w:hAnsi="宋体" w:hint="eastAsia"/>
          <w:sz w:val="32"/>
          <w:szCs w:val="32"/>
        </w:rPr>
        <w:t>首次公开发行股票并在</w:t>
      </w:r>
      <w:proofErr w:type="gramStart"/>
      <w:r>
        <w:rPr>
          <w:rFonts w:ascii="仿宋_GB2312" w:hAnsi="宋体" w:hint="eastAsia"/>
          <w:sz w:val="32"/>
          <w:szCs w:val="32"/>
        </w:rPr>
        <w:t>科创板</w:t>
      </w:r>
      <w:proofErr w:type="gramEnd"/>
      <w:r>
        <w:rPr>
          <w:rFonts w:ascii="仿宋_GB2312" w:hAnsi="宋体" w:hint="eastAsia"/>
          <w:sz w:val="32"/>
          <w:szCs w:val="32"/>
        </w:rPr>
        <w:t>上市的，持续督导期间为股票上市当年剩余时间以及其后3个完整会计年度。持续督导期届满，如有尚未完结的保荐工作，保荐机构应当继续完成。</w:t>
      </w:r>
    </w:p>
    <w:p w14:paraId="175373D4" w14:textId="77777777" w:rsidR="000C29B8" w:rsidRDefault="00000000">
      <w:pPr>
        <w:tabs>
          <w:tab w:val="left" w:pos="1418"/>
        </w:tabs>
        <w:spacing w:line="560" w:lineRule="exact"/>
        <w:rPr>
          <w:rFonts w:ascii="仿宋_GB2312" w:eastAsia="仿宋_GB2312" w:hAnsi="宋体"/>
          <w:sz w:val="32"/>
          <w:szCs w:val="32"/>
        </w:rPr>
      </w:pPr>
      <w:r>
        <w:rPr>
          <w:rFonts w:ascii="仿宋_GB2312" w:eastAsia="仿宋_GB2312" w:hAnsi="宋体" w:hint="eastAsia"/>
          <w:sz w:val="32"/>
          <w:szCs w:val="32"/>
        </w:rPr>
        <w:t xml:space="preserve">    保荐机构应当与发行人、上市公司或相关方就持续督导期间的权利义务签订持续督导协议。</w:t>
      </w:r>
    </w:p>
    <w:p w14:paraId="778F38D2" w14:textId="77777777" w:rsidR="000C29B8" w:rsidRDefault="00000000">
      <w:pPr>
        <w:pStyle w:val="afa"/>
        <w:numPr>
          <w:ilvl w:val="0"/>
          <w:numId w:val="8"/>
        </w:numPr>
        <w:tabs>
          <w:tab w:val="left" w:pos="1418"/>
        </w:tabs>
        <w:spacing w:line="560" w:lineRule="exact"/>
        <w:ind w:left="0" w:firstLine="640"/>
        <w:rPr>
          <w:rFonts w:ascii="仿宋_GB2312" w:hAnsi="宋体"/>
          <w:sz w:val="32"/>
          <w:szCs w:val="32"/>
        </w:rPr>
      </w:pPr>
      <w:r>
        <w:rPr>
          <w:rFonts w:ascii="仿宋_GB2312" w:hAnsi="黑体" w:hint="eastAsia"/>
          <w:sz w:val="32"/>
          <w:szCs w:val="32"/>
        </w:rPr>
        <w:t>上市公司原则上不得变更履行持续督导职责的保荐机构。</w:t>
      </w:r>
    </w:p>
    <w:p w14:paraId="4C83C1F4" w14:textId="77777777" w:rsidR="000C29B8" w:rsidRDefault="00000000">
      <w:pPr>
        <w:tabs>
          <w:tab w:val="left" w:pos="1418"/>
        </w:tabs>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上市公司因再次发行股票另行聘请保荐机构的，另行聘请的保荐机构应当履行剩余期限的持续督导职责。</w:t>
      </w:r>
    </w:p>
    <w:p w14:paraId="75B49C9B" w14:textId="77777777" w:rsidR="000C29B8" w:rsidRDefault="00000000">
      <w:pPr>
        <w:tabs>
          <w:tab w:val="left" w:pos="1418"/>
        </w:tabs>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保荐机构被撤销保荐资格的，上市公司应当在1个月内另行聘请保荐机构，履行剩余期限的持续督导职责。另行聘请的保荐机构持续督导的时间不得少于1个完整的会计年度。</w:t>
      </w:r>
    </w:p>
    <w:p w14:paraId="2CE8E6E3" w14:textId="77777777" w:rsidR="000C29B8" w:rsidRDefault="00000000">
      <w:pPr>
        <w:tabs>
          <w:tab w:val="left" w:pos="1418"/>
        </w:tabs>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原保荐机构在履行持续督导职责期间未勤勉尽责的，其责任不因保荐机构的更换而免除或者终止。</w:t>
      </w:r>
    </w:p>
    <w:p w14:paraId="7DEE609D" w14:textId="77777777" w:rsidR="000C29B8" w:rsidRDefault="00000000">
      <w:pPr>
        <w:pStyle w:val="afa"/>
        <w:numPr>
          <w:ilvl w:val="0"/>
          <w:numId w:val="8"/>
        </w:numPr>
        <w:tabs>
          <w:tab w:val="left" w:pos="1418"/>
        </w:tabs>
        <w:spacing w:line="560" w:lineRule="exact"/>
        <w:ind w:left="0" w:firstLine="640"/>
        <w:rPr>
          <w:rFonts w:ascii="仿宋_GB2312" w:hAnsi="宋体"/>
          <w:sz w:val="32"/>
          <w:szCs w:val="32"/>
        </w:rPr>
      </w:pPr>
      <w:r>
        <w:rPr>
          <w:rFonts w:ascii="仿宋_GB2312" w:hAnsi="宋体" w:hint="eastAsia"/>
          <w:sz w:val="32"/>
          <w:szCs w:val="32"/>
        </w:rPr>
        <w:t>保荐机构应当建立健全并有效执行持续督导业务管理制度。</w:t>
      </w:r>
    </w:p>
    <w:p w14:paraId="3CFD522F" w14:textId="77777777" w:rsidR="000C29B8" w:rsidRDefault="00000000">
      <w:pPr>
        <w:tabs>
          <w:tab w:val="left" w:pos="1418"/>
        </w:tabs>
        <w:spacing w:line="560" w:lineRule="exact"/>
        <w:ind w:firstLineChars="200" w:firstLine="640"/>
        <w:rPr>
          <w:rFonts w:ascii="仿宋_GB2312" w:eastAsia="仿宋_GB2312" w:hAnsi="宋体"/>
          <w:sz w:val="32"/>
          <w:szCs w:val="32"/>
        </w:rPr>
      </w:pPr>
      <w:r>
        <w:rPr>
          <w:rFonts w:ascii="仿宋_GB2312" w:eastAsia="仿宋_GB2312" w:hint="eastAsia"/>
          <w:sz w:val="32"/>
          <w:szCs w:val="32"/>
        </w:rPr>
        <w:t>保荐机构、保荐代表人应当制作并保存持续督导工作底稿。工作底稿应当真实、准确、完整地反映保荐机构、保荐代表人履行持续督导职责所开展的主要工作，并作为出具相关意见或者报告的基础。</w:t>
      </w:r>
    </w:p>
    <w:p w14:paraId="5D46A552" w14:textId="77777777" w:rsidR="000C29B8" w:rsidRDefault="00000000">
      <w:pPr>
        <w:pStyle w:val="afa"/>
        <w:numPr>
          <w:ilvl w:val="0"/>
          <w:numId w:val="8"/>
        </w:numPr>
        <w:tabs>
          <w:tab w:val="left" w:pos="1418"/>
        </w:tabs>
        <w:spacing w:line="560" w:lineRule="exact"/>
        <w:ind w:left="0" w:firstLine="640"/>
        <w:rPr>
          <w:rFonts w:ascii="仿宋_GB2312" w:hAnsi="宋体"/>
          <w:sz w:val="32"/>
          <w:szCs w:val="32"/>
        </w:rPr>
      </w:pPr>
      <w:r>
        <w:rPr>
          <w:rFonts w:ascii="仿宋_GB2312" w:hAnsi="宋体" w:hint="eastAsia"/>
          <w:sz w:val="32"/>
          <w:szCs w:val="32"/>
        </w:rPr>
        <w:lastRenderedPageBreak/>
        <w:t>保荐机构应当指定为发行人首次公开发行提供保荐服务的保荐代表人负责持续督导工作，并在上市公告书中予以披露。前述保荐代表人不能履职的，保荐机构应当另行指定</w:t>
      </w:r>
      <w:proofErr w:type="gramStart"/>
      <w:r>
        <w:rPr>
          <w:rFonts w:ascii="仿宋_GB2312" w:hAnsi="宋体" w:hint="eastAsia"/>
          <w:sz w:val="32"/>
          <w:szCs w:val="32"/>
        </w:rPr>
        <w:t>履</w:t>
      </w:r>
      <w:proofErr w:type="gramEnd"/>
      <w:r>
        <w:rPr>
          <w:rFonts w:ascii="仿宋_GB2312" w:hAnsi="宋体" w:hint="eastAsia"/>
          <w:sz w:val="32"/>
          <w:szCs w:val="32"/>
        </w:rPr>
        <w:t>职能力相当的保荐代表人并披露。</w:t>
      </w:r>
    </w:p>
    <w:p w14:paraId="7A41293B" w14:textId="77777777" w:rsidR="000C29B8" w:rsidRDefault="00000000">
      <w:pPr>
        <w:tabs>
          <w:tab w:val="left" w:pos="1418"/>
        </w:tabs>
        <w:spacing w:line="560" w:lineRule="exact"/>
        <w:rPr>
          <w:rFonts w:ascii="仿宋_GB2312" w:eastAsia="仿宋_GB2312" w:hAnsi="宋体"/>
          <w:sz w:val="32"/>
          <w:szCs w:val="32"/>
        </w:rPr>
      </w:pPr>
      <w:r>
        <w:rPr>
          <w:rFonts w:ascii="仿宋_GB2312" w:eastAsia="仿宋_GB2312" w:hAnsi="宋体" w:hint="eastAsia"/>
          <w:sz w:val="32"/>
          <w:szCs w:val="32"/>
        </w:rPr>
        <w:t xml:space="preserve">    保荐机构应当建立健全保荐代表人工作制度，</w:t>
      </w:r>
      <w:r>
        <w:rPr>
          <w:rFonts w:ascii="仿宋_GB2312" w:eastAsia="仿宋_GB2312" w:hAnsi="宋体"/>
          <w:sz w:val="32"/>
          <w:szCs w:val="32"/>
        </w:rPr>
        <w:t>明确</w:t>
      </w:r>
      <w:r>
        <w:rPr>
          <w:rFonts w:ascii="仿宋_GB2312" w:eastAsia="仿宋_GB2312" w:hAnsi="宋体" w:hint="eastAsia"/>
          <w:sz w:val="32"/>
          <w:szCs w:val="32"/>
        </w:rPr>
        <w:t>保荐代表人的</w:t>
      </w:r>
      <w:r>
        <w:rPr>
          <w:rFonts w:ascii="仿宋_GB2312" w:eastAsia="仿宋_GB2312" w:hAnsi="宋体"/>
          <w:sz w:val="32"/>
          <w:szCs w:val="32"/>
        </w:rPr>
        <w:t>工作要求和职责，建立有效的</w:t>
      </w:r>
      <w:r>
        <w:rPr>
          <w:rFonts w:ascii="仿宋_GB2312" w:eastAsia="仿宋_GB2312" w:hAnsi="宋体" w:hint="eastAsia"/>
          <w:sz w:val="32"/>
          <w:szCs w:val="32"/>
        </w:rPr>
        <w:t>考核、激励和</w:t>
      </w:r>
      <w:r>
        <w:rPr>
          <w:rFonts w:ascii="仿宋_GB2312" w:eastAsia="仿宋_GB2312" w:hAnsi="宋体"/>
          <w:sz w:val="32"/>
          <w:szCs w:val="32"/>
        </w:rPr>
        <w:t>约束机制。</w:t>
      </w:r>
    </w:p>
    <w:p w14:paraId="30D7B299" w14:textId="77777777" w:rsidR="000C29B8" w:rsidRDefault="00000000">
      <w:pPr>
        <w:tabs>
          <w:tab w:val="left" w:pos="1418"/>
        </w:tabs>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保荐代表人未按照本规则履行职责的，保荐机构应当督促保荐代表人履行职责。</w:t>
      </w:r>
    </w:p>
    <w:p w14:paraId="5DEB5C4A" w14:textId="77777777" w:rsidR="000C29B8" w:rsidRDefault="00000000">
      <w:pPr>
        <w:pStyle w:val="afa"/>
        <w:numPr>
          <w:ilvl w:val="0"/>
          <w:numId w:val="8"/>
        </w:numPr>
        <w:tabs>
          <w:tab w:val="left" w:pos="1418"/>
        </w:tabs>
        <w:spacing w:line="560" w:lineRule="exact"/>
        <w:ind w:left="0" w:firstLine="640"/>
        <w:rPr>
          <w:rFonts w:ascii="仿宋_GB2312" w:hAnsi="宋体"/>
          <w:sz w:val="32"/>
          <w:szCs w:val="32"/>
        </w:rPr>
      </w:pPr>
      <w:r>
        <w:rPr>
          <w:rFonts w:ascii="仿宋_GB2312" w:hAnsi="宋体" w:hint="eastAsia"/>
          <w:sz w:val="32"/>
          <w:szCs w:val="32"/>
        </w:rPr>
        <w:t>保荐机构在持续督导期间，应当履行下列持续督导职责：</w:t>
      </w:r>
    </w:p>
    <w:p w14:paraId="29407261" w14:textId="77777777" w:rsidR="000C29B8" w:rsidRDefault="00000000">
      <w:pPr>
        <w:pStyle w:val="afa"/>
        <w:numPr>
          <w:ilvl w:val="3"/>
          <w:numId w:val="1"/>
        </w:numPr>
        <w:tabs>
          <w:tab w:val="left" w:pos="1418"/>
          <w:tab w:val="left" w:pos="1701"/>
        </w:tabs>
        <w:spacing w:line="560" w:lineRule="exact"/>
        <w:ind w:left="0" w:firstLineChars="0" w:firstLine="709"/>
        <w:rPr>
          <w:rFonts w:ascii="仿宋_GB2312" w:hAnsi="黑体"/>
          <w:sz w:val="32"/>
          <w:szCs w:val="32"/>
        </w:rPr>
      </w:pPr>
      <w:r>
        <w:rPr>
          <w:rFonts w:ascii="仿宋_GB2312" w:hAnsi="黑体" w:hint="eastAsia"/>
          <w:sz w:val="32"/>
          <w:szCs w:val="32"/>
        </w:rPr>
        <w:t>督促上市公司建立和执行信息披露、规范运作、承诺履行、分红回报等制度；</w:t>
      </w:r>
    </w:p>
    <w:p w14:paraId="2870B181" w14:textId="77777777" w:rsidR="000C29B8" w:rsidRDefault="00000000">
      <w:pPr>
        <w:pStyle w:val="afa"/>
        <w:numPr>
          <w:ilvl w:val="3"/>
          <w:numId w:val="1"/>
        </w:numPr>
        <w:tabs>
          <w:tab w:val="clear" w:pos="1980"/>
          <w:tab w:val="left" w:pos="0"/>
          <w:tab w:val="left" w:pos="1418"/>
        </w:tabs>
        <w:spacing w:line="560" w:lineRule="exact"/>
        <w:ind w:left="0" w:firstLineChars="0" w:firstLine="709"/>
        <w:rPr>
          <w:rFonts w:ascii="仿宋_GB2312" w:hAnsi="黑体"/>
          <w:sz w:val="32"/>
          <w:szCs w:val="32"/>
        </w:rPr>
      </w:pPr>
      <w:r>
        <w:rPr>
          <w:rFonts w:ascii="仿宋_GB2312" w:hAnsi="黑体" w:hint="eastAsia"/>
          <w:sz w:val="32"/>
          <w:szCs w:val="32"/>
        </w:rPr>
        <w:t>识别并督促上市公司披露对公司持续经营能力、核心竞争力或者控制权稳定有重大不利影响的风险或者负面事项，并发表意见；</w:t>
      </w:r>
    </w:p>
    <w:p w14:paraId="06567989" w14:textId="77777777" w:rsidR="000C29B8" w:rsidRDefault="00000000">
      <w:pPr>
        <w:pStyle w:val="afa"/>
        <w:numPr>
          <w:ilvl w:val="3"/>
          <w:numId w:val="1"/>
        </w:numPr>
        <w:tabs>
          <w:tab w:val="clear" w:pos="1980"/>
          <w:tab w:val="left" w:pos="0"/>
          <w:tab w:val="left" w:pos="1418"/>
        </w:tabs>
        <w:spacing w:line="560" w:lineRule="exact"/>
        <w:ind w:left="0" w:firstLineChars="0" w:firstLine="709"/>
        <w:rPr>
          <w:rFonts w:ascii="仿宋_GB2312" w:hAnsi="黑体"/>
          <w:sz w:val="32"/>
          <w:szCs w:val="32"/>
        </w:rPr>
      </w:pPr>
      <w:r>
        <w:rPr>
          <w:rFonts w:ascii="仿宋_GB2312" w:hAnsi="黑体" w:hint="eastAsia"/>
          <w:sz w:val="32"/>
          <w:szCs w:val="32"/>
        </w:rPr>
        <w:t>关注上市公司股票交易异常波动情况，督促上市公司按照本规则规定履行核查、信息披露等义务；</w:t>
      </w:r>
    </w:p>
    <w:p w14:paraId="3E811DD0" w14:textId="77777777" w:rsidR="000C29B8" w:rsidRDefault="00000000">
      <w:pPr>
        <w:pStyle w:val="afa"/>
        <w:numPr>
          <w:ilvl w:val="3"/>
          <w:numId w:val="1"/>
        </w:numPr>
        <w:tabs>
          <w:tab w:val="clear" w:pos="1980"/>
          <w:tab w:val="left" w:pos="0"/>
          <w:tab w:val="left" w:pos="1418"/>
        </w:tabs>
        <w:spacing w:line="560" w:lineRule="exact"/>
        <w:ind w:left="0" w:firstLineChars="0" w:firstLine="709"/>
        <w:rPr>
          <w:rFonts w:ascii="仿宋_GB2312" w:hAnsi="黑体"/>
          <w:sz w:val="32"/>
          <w:szCs w:val="32"/>
        </w:rPr>
      </w:pPr>
      <w:r>
        <w:rPr>
          <w:rFonts w:ascii="仿宋_GB2312" w:hAnsi="黑体" w:hint="eastAsia"/>
          <w:sz w:val="32"/>
          <w:szCs w:val="32"/>
        </w:rPr>
        <w:t>对上市公司存在的可能严重影响公司或者投资者合法权益的事项开展专项核查，并出具现场核查报告；</w:t>
      </w:r>
    </w:p>
    <w:p w14:paraId="7A61925F" w14:textId="77777777" w:rsidR="000C29B8" w:rsidRDefault="00000000">
      <w:pPr>
        <w:pStyle w:val="afa"/>
        <w:numPr>
          <w:ilvl w:val="3"/>
          <w:numId w:val="1"/>
        </w:numPr>
        <w:tabs>
          <w:tab w:val="clear" w:pos="1980"/>
          <w:tab w:val="left" w:pos="0"/>
          <w:tab w:val="left" w:pos="1418"/>
        </w:tabs>
        <w:spacing w:line="560" w:lineRule="exact"/>
        <w:ind w:left="0" w:firstLineChars="0" w:firstLine="709"/>
        <w:rPr>
          <w:rFonts w:ascii="仿宋_GB2312" w:hAnsi="黑体"/>
          <w:sz w:val="32"/>
          <w:szCs w:val="32"/>
        </w:rPr>
      </w:pPr>
      <w:r>
        <w:rPr>
          <w:rFonts w:ascii="仿宋_GB2312" w:hAnsi="黑体" w:hint="eastAsia"/>
          <w:sz w:val="32"/>
          <w:szCs w:val="32"/>
        </w:rPr>
        <w:t>定期出具并披露持续督导跟踪报告；</w:t>
      </w:r>
    </w:p>
    <w:p w14:paraId="0C39303D" w14:textId="77777777" w:rsidR="000C29B8" w:rsidRDefault="00000000">
      <w:pPr>
        <w:pStyle w:val="afa"/>
        <w:numPr>
          <w:ilvl w:val="3"/>
          <w:numId w:val="1"/>
        </w:numPr>
        <w:tabs>
          <w:tab w:val="clear" w:pos="1980"/>
          <w:tab w:val="left" w:pos="0"/>
          <w:tab w:val="left" w:pos="1418"/>
        </w:tabs>
        <w:spacing w:line="560" w:lineRule="exact"/>
        <w:ind w:left="0" w:firstLineChars="0" w:firstLine="709"/>
        <w:rPr>
          <w:rFonts w:ascii="仿宋_GB2312" w:hAnsi="黑体"/>
          <w:sz w:val="32"/>
          <w:szCs w:val="32"/>
        </w:rPr>
      </w:pPr>
      <w:r>
        <w:rPr>
          <w:rFonts w:ascii="仿宋_GB2312" w:hint="eastAsia"/>
          <w:sz w:val="32"/>
          <w:szCs w:val="32"/>
        </w:rPr>
        <w:t>中国证监会、本所规定或者保荐协议约定的其他职责</w:t>
      </w:r>
      <w:r>
        <w:rPr>
          <w:rFonts w:ascii="仿宋_GB2312" w:hAnsi="黑体" w:hint="eastAsia"/>
          <w:sz w:val="32"/>
          <w:szCs w:val="32"/>
        </w:rPr>
        <w:t>。</w:t>
      </w:r>
    </w:p>
    <w:p w14:paraId="08FC5307" w14:textId="77777777" w:rsidR="000C29B8" w:rsidRDefault="00000000">
      <w:pPr>
        <w:tabs>
          <w:tab w:val="left" w:pos="1418"/>
        </w:tabs>
        <w:spacing w:line="560" w:lineRule="exact"/>
        <w:ind w:firstLine="640"/>
        <w:rPr>
          <w:rFonts w:ascii="仿宋_GB2312" w:eastAsia="仿宋_GB2312" w:hAnsi="宋体"/>
          <w:sz w:val="32"/>
          <w:szCs w:val="32"/>
        </w:rPr>
      </w:pPr>
      <w:r>
        <w:rPr>
          <w:rFonts w:ascii="仿宋_GB2312" w:eastAsia="仿宋_GB2312" w:hAnsi="宋体" w:hint="eastAsia"/>
          <w:sz w:val="32"/>
          <w:szCs w:val="32"/>
        </w:rPr>
        <w:t xml:space="preserve">  </w:t>
      </w:r>
      <w:r>
        <w:rPr>
          <w:rFonts w:ascii="仿宋_GB2312" w:eastAsia="仿宋_GB2312" w:hAnsi="宋体"/>
          <w:sz w:val="32"/>
          <w:szCs w:val="32"/>
        </w:rPr>
        <w:t>保荐机构</w:t>
      </w:r>
      <w:r>
        <w:rPr>
          <w:rFonts w:ascii="仿宋_GB2312" w:eastAsia="仿宋_GB2312" w:hAnsi="宋体" w:hint="eastAsia"/>
          <w:sz w:val="32"/>
          <w:szCs w:val="32"/>
        </w:rPr>
        <w:t>、保荐代表人</w:t>
      </w:r>
      <w:r>
        <w:rPr>
          <w:rFonts w:ascii="仿宋_GB2312" w:eastAsia="仿宋_GB2312" w:hAnsi="宋体"/>
          <w:sz w:val="32"/>
          <w:szCs w:val="32"/>
        </w:rPr>
        <w:t>应当针对</w:t>
      </w:r>
      <w:r>
        <w:rPr>
          <w:rFonts w:ascii="仿宋_GB2312" w:eastAsia="仿宋_GB2312" w:hAnsi="宋体" w:hint="eastAsia"/>
          <w:sz w:val="32"/>
          <w:szCs w:val="32"/>
        </w:rPr>
        <w:t>上市公司</w:t>
      </w:r>
      <w:r>
        <w:rPr>
          <w:rFonts w:ascii="仿宋_GB2312" w:eastAsia="仿宋_GB2312" w:hAnsi="宋体"/>
          <w:sz w:val="32"/>
          <w:szCs w:val="32"/>
        </w:rPr>
        <w:t>的具体情况，</w:t>
      </w:r>
      <w:r>
        <w:rPr>
          <w:rFonts w:ascii="仿宋_GB2312" w:eastAsia="仿宋_GB2312" w:hAnsi="宋体" w:hint="eastAsia"/>
          <w:sz w:val="32"/>
          <w:szCs w:val="32"/>
        </w:rPr>
        <w:lastRenderedPageBreak/>
        <w:t>制定履行各项持续督导职责的实施方案。</w:t>
      </w:r>
    </w:p>
    <w:p w14:paraId="5309F63A" w14:textId="77777777" w:rsidR="000C29B8" w:rsidRDefault="00000000">
      <w:pPr>
        <w:pStyle w:val="afa"/>
        <w:numPr>
          <w:ilvl w:val="0"/>
          <w:numId w:val="8"/>
        </w:numPr>
        <w:tabs>
          <w:tab w:val="left" w:pos="1418"/>
        </w:tabs>
        <w:spacing w:line="560" w:lineRule="exact"/>
        <w:ind w:left="0" w:firstLine="640"/>
        <w:rPr>
          <w:rFonts w:ascii="仿宋_GB2312" w:hAnsi="宋体"/>
          <w:sz w:val="32"/>
          <w:szCs w:val="32"/>
        </w:rPr>
      </w:pPr>
      <w:r>
        <w:rPr>
          <w:rFonts w:ascii="仿宋_GB2312" w:hAnsi="宋体" w:hint="eastAsia"/>
          <w:sz w:val="32"/>
          <w:szCs w:val="32"/>
        </w:rPr>
        <w:t>上市公司应当按照下列要求，积极配合保荐机构履行持续督导职责：</w:t>
      </w:r>
    </w:p>
    <w:p w14:paraId="4038023C" w14:textId="77777777" w:rsidR="000C29B8" w:rsidRDefault="00000000">
      <w:pPr>
        <w:tabs>
          <w:tab w:val="left" w:pos="1418"/>
        </w:tabs>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（一）根据保荐机构和保荐代表人的要求，及时提供履行持续督导职责必需的相关信息；</w:t>
      </w:r>
    </w:p>
    <w:p w14:paraId="3FBA989B" w14:textId="77777777" w:rsidR="000C29B8" w:rsidRDefault="00000000">
      <w:pPr>
        <w:tabs>
          <w:tab w:val="left" w:pos="1418"/>
        </w:tabs>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（二）发生应当披露的重大事项或者出现重大风险的，及时告知保荐机构和保荐代表人；</w:t>
      </w:r>
    </w:p>
    <w:p w14:paraId="747D3FDB" w14:textId="77777777" w:rsidR="000C29B8" w:rsidRDefault="00000000">
      <w:pPr>
        <w:tabs>
          <w:tab w:val="left" w:pos="1418"/>
        </w:tabs>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（三）根据保荐机构和保荐代表人的督导意见，及时履行信息披露义务或者采取相应整改措施；</w:t>
      </w:r>
    </w:p>
    <w:p w14:paraId="0407B4B1" w14:textId="77777777" w:rsidR="000C29B8" w:rsidRDefault="00000000">
      <w:pPr>
        <w:tabs>
          <w:tab w:val="left" w:pos="1418"/>
        </w:tabs>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（四）协助保荐机构和保荐代表人披露持续督导意见；</w:t>
      </w:r>
    </w:p>
    <w:p w14:paraId="36AB8ECB" w14:textId="77777777" w:rsidR="000C29B8" w:rsidRDefault="00000000">
      <w:pPr>
        <w:tabs>
          <w:tab w:val="left" w:pos="1418"/>
        </w:tabs>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（五）为保荐机构和保荐代表人履行持续督导职责提供其他必要的条件和便利。</w:t>
      </w:r>
    </w:p>
    <w:p w14:paraId="6E91C6D4" w14:textId="77777777" w:rsidR="000C29B8" w:rsidRDefault="00000000">
      <w:pPr>
        <w:tabs>
          <w:tab w:val="left" w:pos="1418"/>
        </w:tabs>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上市公司不配合保荐机构、保荐代表人持续督导工作的，保荐机构、保荐代表人应当督促公司改正，并及时报告本所。</w:t>
      </w:r>
    </w:p>
    <w:p w14:paraId="69859EFC" w14:textId="77777777" w:rsidR="000C29B8" w:rsidRDefault="00000000">
      <w:pPr>
        <w:pStyle w:val="23"/>
        <w:numPr>
          <w:ilvl w:val="1"/>
          <w:numId w:val="1"/>
        </w:numPr>
        <w:ind w:left="0" w:firstLine="643"/>
      </w:pPr>
      <w:bookmarkStart w:id="68" w:name="_Toc1546"/>
      <w:r>
        <w:rPr>
          <w:rFonts w:hint="eastAsia"/>
        </w:rPr>
        <w:t>持续督导职责的履行</w:t>
      </w:r>
      <w:bookmarkEnd w:id="68"/>
    </w:p>
    <w:p w14:paraId="46312002" w14:textId="77777777" w:rsidR="000C29B8" w:rsidRDefault="00000000">
      <w:pPr>
        <w:pStyle w:val="afa"/>
        <w:numPr>
          <w:ilvl w:val="0"/>
          <w:numId w:val="9"/>
        </w:numPr>
        <w:tabs>
          <w:tab w:val="left" w:pos="1418"/>
        </w:tabs>
        <w:spacing w:line="560" w:lineRule="exact"/>
        <w:ind w:left="0" w:firstLine="640"/>
        <w:rPr>
          <w:rFonts w:ascii="仿宋_GB2312" w:hAnsi="宋体"/>
          <w:sz w:val="32"/>
          <w:szCs w:val="32"/>
        </w:rPr>
      </w:pPr>
      <w:r>
        <w:rPr>
          <w:rFonts w:ascii="仿宋_GB2312" w:hAnsi="宋体" w:hint="eastAsia"/>
          <w:sz w:val="32"/>
          <w:szCs w:val="32"/>
        </w:rPr>
        <w:t>保荐机构、保荐代表人应当协助和督促上市公司建立相应的内部制度、决策程序及内控机制，以符合</w:t>
      </w:r>
      <w:bookmarkStart w:id="69" w:name="OLE_LINK6"/>
      <w:bookmarkStart w:id="70" w:name="OLE_LINK5"/>
      <w:r>
        <w:rPr>
          <w:rFonts w:ascii="仿宋_GB2312" w:hAnsi="宋体" w:hint="eastAsia"/>
          <w:sz w:val="32"/>
          <w:szCs w:val="32"/>
        </w:rPr>
        <w:t>法律法规和本规则</w:t>
      </w:r>
      <w:bookmarkEnd w:id="69"/>
      <w:bookmarkEnd w:id="70"/>
      <w:r>
        <w:rPr>
          <w:rFonts w:ascii="仿宋_GB2312" w:hAnsi="宋体" w:hint="eastAsia"/>
          <w:sz w:val="32"/>
          <w:szCs w:val="32"/>
        </w:rPr>
        <w:t>的要求，并确保上市公司及其控股股东、实际控制人、董事、监事和高级管理人员、核心技术人员知晓其在本规则下的各项义务。</w:t>
      </w:r>
    </w:p>
    <w:p w14:paraId="65A5CD3B" w14:textId="77777777" w:rsidR="000C29B8" w:rsidRDefault="00000000">
      <w:pPr>
        <w:pStyle w:val="afa"/>
        <w:numPr>
          <w:ilvl w:val="0"/>
          <w:numId w:val="9"/>
        </w:numPr>
        <w:tabs>
          <w:tab w:val="left" w:pos="1418"/>
        </w:tabs>
        <w:spacing w:line="560" w:lineRule="exact"/>
        <w:ind w:left="0" w:firstLine="640"/>
        <w:rPr>
          <w:rFonts w:ascii="仿宋_GB2312" w:hAnsi="宋体"/>
          <w:sz w:val="32"/>
          <w:szCs w:val="32"/>
        </w:rPr>
      </w:pPr>
      <w:r>
        <w:rPr>
          <w:rFonts w:ascii="仿宋_GB2312" w:hAnsi="宋体" w:hint="eastAsia"/>
          <w:sz w:val="32"/>
          <w:szCs w:val="32"/>
        </w:rPr>
        <w:t>保荐机构、保荐代表人应当持续督促上市公司充分披露投资者</w:t>
      </w:r>
      <w:proofErr w:type="gramStart"/>
      <w:r>
        <w:rPr>
          <w:rFonts w:ascii="仿宋_GB2312" w:hAnsi="宋体" w:hint="eastAsia"/>
          <w:sz w:val="32"/>
          <w:szCs w:val="32"/>
        </w:rPr>
        <w:t>作出</w:t>
      </w:r>
      <w:proofErr w:type="gramEnd"/>
      <w:r>
        <w:rPr>
          <w:rFonts w:ascii="仿宋_GB2312" w:hAnsi="宋体" w:hint="eastAsia"/>
          <w:sz w:val="32"/>
          <w:szCs w:val="32"/>
        </w:rPr>
        <w:t>价值判断和投资决策所必需的信息，并确保信息披露真实、准确、完整、及时、公平。</w:t>
      </w:r>
    </w:p>
    <w:p w14:paraId="24BF4ED7" w14:textId="77777777" w:rsidR="000C29B8" w:rsidRDefault="00000000">
      <w:pPr>
        <w:tabs>
          <w:tab w:val="left" w:pos="1418"/>
        </w:tabs>
        <w:spacing w:line="560" w:lineRule="exact"/>
        <w:ind w:firstLine="640"/>
        <w:rPr>
          <w:rFonts w:ascii="仿宋_GB2312" w:eastAsia="仿宋_GB2312" w:hAnsi="宋体"/>
          <w:sz w:val="32"/>
          <w:szCs w:val="32"/>
        </w:rPr>
      </w:pPr>
      <w:r>
        <w:rPr>
          <w:rFonts w:ascii="仿宋_GB2312" w:eastAsia="仿宋_GB2312" w:hAnsi="宋体" w:hint="eastAsia"/>
          <w:sz w:val="32"/>
          <w:szCs w:val="32"/>
        </w:rPr>
        <w:t>保荐机构、保荐代表人应当对上市公司制作信息披露公</w:t>
      </w:r>
      <w:r>
        <w:rPr>
          <w:rFonts w:ascii="仿宋_GB2312" w:eastAsia="仿宋_GB2312" w:hAnsi="宋体" w:hint="eastAsia"/>
          <w:sz w:val="32"/>
          <w:szCs w:val="32"/>
        </w:rPr>
        <w:lastRenderedPageBreak/>
        <w:t>告文件提供必要的指导和协助，确保其信息披露内容简明易懂，语言浅白平实，具有可理解性。</w:t>
      </w:r>
    </w:p>
    <w:p w14:paraId="5A4051FD" w14:textId="77777777" w:rsidR="000C29B8" w:rsidRDefault="00000000">
      <w:pPr>
        <w:tabs>
          <w:tab w:val="left" w:pos="1418"/>
        </w:tabs>
        <w:spacing w:line="560" w:lineRule="exact"/>
        <w:ind w:firstLine="640"/>
        <w:rPr>
          <w:rFonts w:ascii="仿宋_GB2312" w:eastAsia="仿宋_GB2312" w:hAnsi="宋体"/>
          <w:sz w:val="32"/>
          <w:szCs w:val="32"/>
        </w:rPr>
      </w:pPr>
      <w:r>
        <w:rPr>
          <w:rFonts w:ascii="仿宋_GB2312" w:eastAsia="仿宋_GB2312" w:hAnsi="宋体" w:hint="eastAsia"/>
          <w:sz w:val="32"/>
          <w:szCs w:val="32"/>
        </w:rPr>
        <w:t>保荐机构、保荐代表人应当督促上市公司控股股东、实际控制人履行信息披露义务，告知并督促其不得要求或者协助上市公司隐瞒重要信息。</w:t>
      </w:r>
    </w:p>
    <w:p w14:paraId="7096467A" w14:textId="77777777" w:rsidR="000C29B8" w:rsidRDefault="00000000">
      <w:pPr>
        <w:pStyle w:val="afa"/>
        <w:numPr>
          <w:ilvl w:val="0"/>
          <w:numId w:val="9"/>
        </w:numPr>
        <w:tabs>
          <w:tab w:val="left" w:pos="1418"/>
        </w:tabs>
        <w:spacing w:line="560" w:lineRule="exact"/>
        <w:ind w:left="0" w:firstLine="640"/>
        <w:rPr>
          <w:sz w:val="32"/>
          <w:szCs w:val="32"/>
        </w:rPr>
      </w:pPr>
      <w:r>
        <w:rPr>
          <w:rFonts w:ascii="仿宋_GB2312" w:hAnsi="宋体" w:hint="eastAsia"/>
          <w:sz w:val="32"/>
          <w:szCs w:val="32"/>
        </w:rPr>
        <w:t>上市公司或其控股股东、实际控制人</w:t>
      </w:r>
      <w:proofErr w:type="gramStart"/>
      <w:r>
        <w:rPr>
          <w:rFonts w:ascii="仿宋_GB2312" w:hAnsi="宋体" w:hint="eastAsia"/>
          <w:sz w:val="32"/>
          <w:szCs w:val="32"/>
        </w:rPr>
        <w:t>作出</w:t>
      </w:r>
      <w:proofErr w:type="gramEnd"/>
      <w:r>
        <w:rPr>
          <w:rFonts w:ascii="仿宋_GB2312" w:hAnsi="宋体" w:hint="eastAsia"/>
          <w:sz w:val="32"/>
          <w:szCs w:val="32"/>
        </w:rPr>
        <w:t>承诺的，保荐机构、保荐代表人应当督促其对承诺事项的具体内容、履约方式及时间、履约能力分析、履约风险及对策、不能履约时的救济措施等方面进行充分信息披露。</w:t>
      </w:r>
    </w:p>
    <w:p w14:paraId="501AA1EB" w14:textId="77777777" w:rsidR="000C29B8" w:rsidRDefault="00000000">
      <w:pPr>
        <w:tabs>
          <w:tab w:val="left" w:pos="1418"/>
        </w:tabs>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保荐机构、保荐代表人应当针对前款规定的承诺披露事项，持续跟进相关主体履行承诺的进展情况，督促相关主体及时、充分履行承诺。</w:t>
      </w:r>
    </w:p>
    <w:p w14:paraId="28C287EB" w14:textId="77777777" w:rsidR="000C29B8" w:rsidRDefault="00000000">
      <w:pPr>
        <w:tabs>
          <w:tab w:val="left" w:pos="1418"/>
        </w:tabs>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上市公司或其控股股东、实际控制人披露、履行或者变更承诺事项，不符合法律法规、本规则以及本所其他规定的，保荐机构和保荐代表人应当及时提出督导意见，并督促相关主体进行补正。</w:t>
      </w:r>
    </w:p>
    <w:p w14:paraId="49E50A27" w14:textId="77777777" w:rsidR="000C29B8" w:rsidRDefault="00000000">
      <w:pPr>
        <w:pStyle w:val="afa"/>
        <w:numPr>
          <w:ilvl w:val="0"/>
          <w:numId w:val="9"/>
        </w:numPr>
        <w:tabs>
          <w:tab w:val="left" w:pos="1418"/>
        </w:tabs>
        <w:spacing w:line="560" w:lineRule="exact"/>
        <w:ind w:left="0" w:firstLine="640"/>
        <w:rPr>
          <w:sz w:val="32"/>
          <w:szCs w:val="32"/>
        </w:rPr>
      </w:pPr>
      <w:r>
        <w:rPr>
          <w:rFonts w:ascii="仿宋_GB2312" w:hAnsi="宋体" w:hint="eastAsia"/>
          <w:sz w:val="32"/>
          <w:szCs w:val="32"/>
        </w:rPr>
        <w:t>保荐机构、保荐代表人应当督促上市公司积极回报投资者，建立健全并有效执行符合公司发展阶段的现金分红和股份回购制度。</w:t>
      </w:r>
    </w:p>
    <w:p w14:paraId="72C35474" w14:textId="77777777" w:rsidR="000C29B8" w:rsidRDefault="00000000">
      <w:pPr>
        <w:pStyle w:val="afa"/>
        <w:numPr>
          <w:ilvl w:val="0"/>
          <w:numId w:val="9"/>
        </w:numPr>
        <w:tabs>
          <w:tab w:val="left" w:pos="1418"/>
        </w:tabs>
        <w:spacing w:line="560" w:lineRule="exact"/>
        <w:ind w:left="0" w:firstLine="640"/>
        <w:rPr>
          <w:rFonts w:ascii="仿宋_GB2312" w:hAnsi="宋体"/>
          <w:sz w:val="32"/>
          <w:szCs w:val="32"/>
        </w:rPr>
      </w:pPr>
      <w:r>
        <w:rPr>
          <w:rFonts w:ascii="仿宋_GB2312" w:hAnsi="宋体" w:hint="eastAsia"/>
          <w:sz w:val="32"/>
          <w:szCs w:val="32"/>
        </w:rPr>
        <w:t>保荐机构、保荐代表人应当持续关注上市公司运作，对上市公司及其业务有充分了解；通过日常沟通、定期回访、调阅资料、列席股东大会等方式，关注上市公司日常经营和股票交易情况，有效识别并督促上市公司披露重大风险或者重大负面事项。</w:t>
      </w:r>
    </w:p>
    <w:p w14:paraId="4A8BE19F" w14:textId="77777777" w:rsidR="000C29B8" w:rsidRDefault="00000000">
      <w:pPr>
        <w:tabs>
          <w:tab w:val="left" w:pos="1418"/>
        </w:tabs>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保荐机构、保荐代表人应当核实上市公司重大风险披露是否真实、准确、完整。披露内容存在虚假记载、误导性陈述或者重大遗漏的，保荐机构、保荐代表人应当发表意见予以说明。</w:t>
      </w:r>
    </w:p>
    <w:p w14:paraId="735B77C9" w14:textId="77777777" w:rsidR="000C29B8" w:rsidRDefault="00000000">
      <w:pPr>
        <w:pStyle w:val="afa"/>
        <w:numPr>
          <w:ilvl w:val="0"/>
          <w:numId w:val="9"/>
        </w:numPr>
        <w:tabs>
          <w:tab w:val="left" w:pos="1418"/>
        </w:tabs>
        <w:spacing w:line="560" w:lineRule="exact"/>
        <w:ind w:left="0" w:firstLine="640"/>
        <w:rPr>
          <w:rFonts w:ascii="仿宋_GB2312" w:hAnsi="宋体"/>
          <w:sz w:val="32"/>
          <w:szCs w:val="32"/>
        </w:rPr>
      </w:pPr>
      <w:r>
        <w:rPr>
          <w:rFonts w:ascii="仿宋_GB2312" w:hAnsi="宋体" w:hint="eastAsia"/>
          <w:sz w:val="32"/>
          <w:szCs w:val="32"/>
        </w:rPr>
        <w:t>上市公司及相关信息披露义务人出现本章第3.2.7条、第3.2.8条和第3.2.9条规定事项的，保荐机构、保荐代表人应当督促公司严格履行信息披露义务，并于公司披露公告时，就信息披露是否真实、准确、完整及本章规定的其他内容发表意见并披露。</w:t>
      </w:r>
    </w:p>
    <w:p w14:paraId="170F50DC" w14:textId="77777777" w:rsidR="000C29B8" w:rsidRDefault="00000000">
      <w:pPr>
        <w:tabs>
          <w:tab w:val="left" w:pos="1418"/>
        </w:tabs>
        <w:spacing w:line="560" w:lineRule="exact"/>
        <w:rPr>
          <w:rFonts w:ascii="仿宋_GB2312" w:eastAsia="仿宋_GB2312" w:hAnsi="宋体"/>
          <w:sz w:val="32"/>
          <w:szCs w:val="32"/>
        </w:rPr>
      </w:pPr>
      <w:r>
        <w:rPr>
          <w:rFonts w:ascii="仿宋_GB2312" w:eastAsia="仿宋_GB2312" w:hAnsi="宋体" w:hint="eastAsia"/>
          <w:sz w:val="32"/>
          <w:szCs w:val="32"/>
        </w:rPr>
        <w:t xml:space="preserve">    保荐机构、保荐代表人无法按时履行前款所述职责的，应当披露尚待核实的事项及预计发表意见的时间，并充分提示风险。</w:t>
      </w:r>
    </w:p>
    <w:p w14:paraId="419DBEB2" w14:textId="77777777" w:rsidR="000C29B8" w:rsidRDefault="00000000">
      <w:pPr>
        <w:pStyle w:val="afa"/>
        <w:numPr>
          <w:ilvl w:val="0"/>
          <w:numId w:val="9"/>
        </w:numPr>
        <w:tabs>
          <w:tab w:val="left" w:pos="1418"/>
        </w:tabs>
        <w:spacing w:line="560" w:lineRule="exact"/>
        <w:ind w:left="0" w:firstLine="640"/>
        <w:rPr>
          <w:rFonts w:ascii="仿宋_GB2312" w:hAnsi="宋体"/>
          <w:sz w:val="32"/>
          <w:szCs w:val="32"/>
        </w:rPr>
      </w:pPr>
      <w:r>
        <w:rPr>
          <w:rFonts w:ascii="仿宋_GB2312" w:hAnsi="宋体" w:hint="eastAsia"/>
          <w:sz w:val="32"/>
          <w:szCs w:val="32"/>
        </w:rPr>
        <w:t>上市公司日常经营出现下列情形的，保荐机构、保荐代表人应当就相关事项对公司经营的影响以及是否存在其他未披露重大风险发表意见并披露：</w:t>
      </w:r>
    </w:p>
    <w:p w14:paraId="5BA98409" w14:textId="77777777" w:rsidR="000C29B8" w:rsidRDefault="00000000">
      <w:pPr>
        <w:pStyle w:val="afa"/>
        <w:numPr>
          <w:ilvl w:val="0"/>
          <w:numId w:val="10"/>
        </w:numPr>
        <w:tabs>
          <w:tab w:val="left" w:pos="709"/>
        </w:tabs>
        <w:spacing w:line="560" w:lineRule="exact"/>
        <w:ind w:left="0" w:firstLine="640"/>
        <w:rPr>
          <w:rFonts w:ascii="仿宋_GB2312" w:hAnsi="宋体"/>
          <w:sz w:val="32"/>
          <w:szCs w:val="32"/>
        </w:rPr>
      </w:pPr>
      <w:r>
        <w:rPr>
          <w:rFonts w:ascii="仿宋_GB2312" w:hAnsi="宋体" w:hint="eastAsia"/>
          <w:sz w:val="32"/>
          <w:szCs w:val="32"/>
        </w:rPr>
        <w:t>主要业务停滞或出现可能导致主要业务停滞的重大风险事件；</w:t>
      </w:r>
    </w:p>
    <w:p w14:paraId="113B3127" w14:textId="77777777" w:rsidR="000C29B8" w:rsidRDefault="00000000">
      <w:pPr>
        <w:pStyle w:val="afa"/>
        <w:numPr>
          <w:ilvl w:val="0"/>
          <w:numId w:val="10"/>
        </w:numPr>
        <w:tabs>
          <w:tab w:val="left" w:pos="709"/>
        </w:tabs>
        <w:spacing w:line="560" w:lineRule="exact"/>
        <w:ind w:left="0" w:firstLine="640"/>
        <w:rPr>
          <w:rFonts w:ascii="仿宋_GB2312" w:hAnsi="宋体"/>
          <w:sz w:val="32"/>
          <w:szCs w:val="32"/>
        </w:rPr>
      </w:pPr>
      <w:r>
        <w:rPr>
          <w:rFonts w:ascii="仿宋_GB2312" w:hint="eastAsia"/>
          <w:sz w:val="32"/>
          <w:szCs w:val="32"/>
        </w:rPr>
        <w:t>资产被查封、扣押或冻结</w:t>
      </w:r>
      <w:r>
        <w:rPr>
          <w:rFonts w:ascii="仿宋_GB2312" w:hAnsi="宋体" w:hint="eastAsia"/>
          <w:sz w:val="32"/>
          <w:szCs w:val="32"/>
        </w:rPr>
        <w:t>；</w:t>
      </w:r>
    </w:p>
    <w:p w14:paraId="26D95D84" w14:textId="77777777" w:rsidR="000C29B8" w:rsidRDefault="00000000">
      <w:pPr>
        <w:pStyle w:val="afa"/>
        <w:numPr>
          <w:ilvl w:val="0"/>
          <w:numId w:val="10"/>
        </w:numPr>
        <w:tabs>
          <w:tab w:val="left" w:pos="709"/>
        </w:tabs>
        <w:spacing w:line="560" w:lineRule="exact"/>
        <w:ind w:left="0" w:firstLine="640"/>
        <w:rPr>
          <w:rFonts w:ascii="仿宋_GB2312" w:hAnsi="宋体"/>
          <w:sz w:val="32"/>
          <w:szCs w:val="32"/>
        </w:rPr>
      </w:pPr>
      <w:r>
        <w:rPr>
          <w:rFonts w:ascii="仿宋_GB2312" w:hAnsi="宋体" w:hint="eastAsia"/>
          <w:sz w:val="32"/>
          <w:szCs w:val="32"/>
        </w:rPr>
        <w:t>未能清偿到期债务；</w:t>
      </w:r>
    </w:p>
    <w:p w14:paraId="7BE55B34" w14:textId="77777777" w:rsidR="000C29B8" w:rsidRDefault="00000000">
      <w:pPr>
        <w:pStyle w:val="afa"/>
        <w:numPr>
          <w:ilvl w:val="0"/>
          <w:numId w:val="10"/>
        </w:numPr>
        <w:tabs>
          <w:tab w:val="left" w:pos="709"/>
        </w:tabs>
        <w:spacing w:line="560" w:lineRule="exact"/>
        <w:ind w:left="0" w:firstLine="640"/>
        <w:rPr>
          <w:rFonts w:ascii="仿宋_GB2312" w:hAnsi="宋体"/>
          <w:sz w:val="32"/>
          <w:szCs w:val="32"/>
        </w:rPr>
      </w:pPr>
      <w:r>
        <w:rPr>
          <w:rFonts w:ascii="仿宋_GB2312" w:hAnsi="宋体" w:hint="eastAsia"/>
          <w:sz w:val="32"/>
          <w:szCs w:val="32"/>
        </w:rPr>
        <w:t>实际控制人、董事长、总经理、财务负责人或核心技术人员涉嫌犯罪被司法机关采取强制措施；</w:t>
      </w:r>
    </w:p>
    <w:p w14:paraId="28E8DA52" w14:textId="77777777" w:rsidR="000C29B8" w:rsidRDefault="00000000">
      <w:pPr>
        <w:pStyle w:val="afa"/>
        <w:numPr>
          <w:ilvl w:val="0"/>
          <w:numId w:val="10"/>
        </w:numPr>
        <w:tabs>
          <w:tab w:val="left" w:pos="709"/>
        </w:tabs>
        <w:spacing w:line="560" w:lineRule="exact"/>
        <w:ind w:left="0" w:firstLine="640"/>
        <w:rPr>
          <w:rFonts w:ascii="仿宋_GB2312" w:hAnsi="宋体"/>
          <w:sz w:val="32"/>
          <w:szCs w:val="32"/>
        </w:rPr>
      </w:pPr>
      <w:r>
        <w:rPr>
          <w:rFonts w:ascii="仿宋_GB2312" w:hAnsi="宋体" w:hint="eastAsia"/>
          <w:sz w:val="32"/>
          <w:szCs w:val="32"/>
        </w:rPr>
        <w:t>涉及关联交易、为他人提供担保等重大事项；</w:t>
      </w:r>
    </w:p>
    <w:p w14:paraId="080C3C28" w14:textId="77777777" w:rsidR="000C29B8" w:rsidRDefault="00000000">
      <w:pPr>
        <w:pStyle w:val="afa"/>
        <w:numPr>
          <w:ilvl w:val="0"/>
          <w:numId w:val="10"/>
        </w:numPr>
        <w:tabs>
          <w:tab w:val="left" w:pos="709"/>
        </w:tabs>
        <w:spacing w:line="560" w:lineRule="exact"/>
        <w:ind w:left="0" w:firstLine="640"/>
        <w:rPr>
          <w:rFonts w:ascii="仿宋_GB2312" w:hAnsi="宋体"/>
          <w:sz w:val="32"/>
          <w:szCs w:val="32"/>
        </w:rPr>
      </w:pPr>
      <w:r>
        <w:rPr>
          <w:rFonts w:ascii="仿宋_GB2312" w:hAnsi="宋体" w:hint="eastAsia"/>
          <w:sz w:val="32"/>
          <w:szCs w:val="32"/>
        </w:rPr>
        <w:t>本所或者保荐机构认为应当发表意见的其他情形。</w:t>
      </w:r>
    </w:p>
    <w:p w14:paraId="586C7F21" w14:textId="77777777" w:rsidR="000C29B8" w:rsidRDefault="00000000">
      <w:pPr>
        <w:pStyle w:val="afa"/>
        <w:numPr>
          <w:ilvl w:val="0"/>
          <w:numId w:val="9"/>
        </w:numPr>
        <w:tabs>
          <w:tab w:val="left" w:pos="1418"/>
        </w:tabs>
        <w:spacing w:line="560" w:lineRule="exact"/>
        <w:ind w:left="0" w:firstLine="640"/>
        <w:rPr>
          <w:rFonts w:ascii="仿宋_GB2312" w:hAnsi="仿宋"/>
          <w:sz w:val="32"/>
          <w:szCs w:val="32"/>
        </w:rPr>
      </w:pPr>
      <w:r>
        <w:rPr>
          <w:rFonts w:ascii="仿宋_GB2312" w:hAnsi="仿宋" w:hint="eastAsia"/>
          <w:sz w:val="32"/>
          <w:szCs w:val="32"/>
        </w:rPr>
        <w:lastRenderedPageBreak/>
        <w:t>上市公司业务和技术出现下列情形的，保荐机构、保荐代表人应当就相关事项对公司核心竞争力和日常经营的影响，以及是否存在其他未披露重大风险发表意见并披露：</w:t>
      </w:r>
    </w:p>
    <w:p w14:paraId="55560275" w14:textId="77777777" w:rsidR="000C29B8" w:rsidRDefault="00000000">
      <w:pPr>
        <w:pStyle w:val="afa"/>
        <w:numPr>
          <w:ilvl w:val="0"/>
          <w:numId w:val="11"/>
        </w:numPr>
        <w:spacing w:line="560" w:lineRule="exact"/>
        <w:ind w:left="0" w:firstLine="640"/>
        <w:rPr>
          <w:rFonts w:ascii="仿宋_GB2312" w:hAnsi="Times New Roman"/>
          <w:sz w:val="32"/>
          <w:szCs w:val="32"/>
        </w:rPr>
      </w:pPr>
      <w:r>
        <w:rPr>
          <w:rFonts w:ascii="仿宋_GB2312" w:hAnsi="Times New Roman" w:hint="eastAsia"/>
          <w:sz w:val="32"/>
          <w:szCs w:val="32"/>
        </w:rPr>
        <w:t>主要原材料供应或者产品销售出现重大不利变化；</w:t>
      </w:r>
    </w:p>
    <w:p w14:paraId="5FA92ACD" w14:textId="77777777" w:rsidR="000C29B8" w:rsidRDefault="00000000">
      <w:pPr>
        <w:pStyle w:val="afa"/>
        <w:numPr>
          <w:ilvl w:val="0"/>
          <w:numId w:val="11"/>
        </w:numPr>
        <w:spacing w:line="560" w:lineRule="exact"/>
        <w:ind w:left="0" w:firstLine="640"/>
        <w:rPr>
          <w:rFonts w:ascii="仿宋_GB2312" w:hAnsi="Times New Roman"/>
          <w:sz w:val="32"/>
          <w:szCs w:val="32"/>
        </w:rPr>
      </w:pPr>
      <w:r>
        <w:rPr>
          <w:rFonts w:ascii="仿宋_GB2312" w:hAnsi="Times New Roman" w:hint="eastAsia"/>
          <w:sz w:val="32"/>
          <w:szCs w:val="32"/>
        </w:rPr>
        <w:t>核心技术人员离职；</w:t>
      </w:r>
    </w:p>
    <w:p w14:paraId="77DBF4AD" w14:textId="77777777" w:rsidR="000C29B8" w:rsidRDefault="00000000">
      <w:pPr>
        <w:pStyle w:val="afa"/>
        <w:numPr>
          <w:ilvl w:val="0"/>
          <w:numId w:val="11"/>
        </w:numPr>
        <w:spacing w:line="560" w:lineRule="exact"/>
        <w:ind w:left="0" w:firstLine="640"/>
        <w:rPr>
          <w:rFonts w:ascii="仿宋_GB2312" w:hAnsi="Times New Roman"/>
          <w:sz w:val="32"/>
          <w:szCs w:val="32"/>
        </w:rPr>
      </w:pPr>
      <w:r>
        <w:rPr>
          <w:rFonts w:ascii="仿宋_GB2312" w:hAnsi="Times New Roman" w:hint="eastAsia"/>
          <w:sz w:val="32"/>
          <w:szCs w:val="32"/>
        </w:rPr>
        <w:t>核心知识产权、特许经营权或者核心技术许可丧失、不能续期或者出现重大纠纷；</w:t>
      </w:r>
    </w:p>
    <w:p w14:paraId="4C469ADD" w14:textId="77777777" w:rsidR="000C29B8" w:rsidRDefault="00000000">
      <w:pPr>
        <w:pStyle w:val="afa"/>
        <w:numPr>
          <w:ilvl w:val="0"/>
          <w:numId w:val="11"/>
        </w:numPr>
        <w:spacing w:line="560" w:lineRule="exact"/>
        <w:ind w:left="0" w:firstLine="640"/>
        <w:rPr>
          <w:rFonts w:ascii="仿宋_GB2312" w:hAnsi="Times New Roman"/>
          <w:sz w:val="32"/>
          <w:szCs w:val="32"/>
        </w:rPr>
      </w:pPr>
      <w:r>
        <w:rPr>
          <w:rFonts w:ascii="仿宋_GB2312" w:hAnsi="Times New Roman" w:hint="eastAsia"/>
          <w:sz w:val="32"/>
          <w:szCs w:val="32"/>
        </w:rPr>
        <w:t>主要产品研发失败；</w:t>
      </w:r>
    </w:p>
    <w:p w14:paraId="4BB0009A" w14:textId="77777777" w:rsidR="000C29B8" w:rsidRDefault="00000000">
      <w:pPr>
        <w:pStyle w:val="afa"/>
        <w:numPr>
          <w:ilvl w:val="0"/>
          <w:numId w:val="11"/>
        </w:numPr>
        <w:spacing w:line="560" w:lineRule="exact"/>
        <w:ind w:left="0" w:firstLine="640"/>
        <w:rPr>
          <w:rFonts w:ascii="仿宋_GB2312" w:hAnsi="Times New Roman"/>
          <w:sz w:val="32"/>
          <w:szCs w:val="32"/>
        </w:rPr>
      </w:pPr>
      <w:r>
        <w:rPr>
          <w:rFonts w:ascii="仿宋_GB2312" w:hAnsi="Times New Roman" w:hint="eastAsia"/>
          <w:sz w:val="32"/>
          <w:szCs w:val="32"/>
        </w:rPr>
        <w:t>核心竞争力丧失竞争优势或者市场出现具有明显优势的竞争者；</w:t>
      </w:r>
    </w:p>
    <w:p w14:paraId="3A13F880" w14:textId="77777777" w:rsidR="000C29B8" w:rsidRDefault="00000000">
      <w:pPr>
        <w:pStyle w:val="afa"/>
        <w:numPr>
          <w:ilvl w:val="0"/>
          <w:numId w:val="11"/>
        </w:numPr>
        <w:spacing w:line="560" w:lineRule="exact"/>
        <w:ind w:left="0" w:firstLine="640"/>
        <w:rPr>
          <w:rFonts w:ascii="仿宋_GB2312" w:hAnsi="Times New Roman"/>
          <w:sz w:val="32"/>
          <w:szCs w:val="32"/>
        </w:rPr>
      </w:pPr>
      <w:r>
        <w:rPr>
          <w:rFonts w:ascii="仿宋_GB2312" w:hAnsi="宋体" w:hint="eastAsia"/>
          <w:sz w:val="32"/>
          <w:szCs w:val="32"/>
        </w:rPr>
        <w:t>本所或者保荐机构认为应当发表意见的其他情形</w:t>
      </w:r>
      <w:r>
        <w:rPr>
          <w:rFonts w:ascii="仿宋_GB2312" w:hAnsi="Times New Roman" w:hint="eastAsia"/>
          <w:sz w:val="32"/>
          <w:szCs w:val="32"/>
        </w:rPr>
        <w:t>。</w:t>
      </w:r>
    </w:p>
    <w:p w14:paraId="2B311733" w14:textId="77777777" w:rsidR="000C29B8" w:rsidRDefault="00000000">
      <w:pPr>
        <w:pStyle w:val="afa"/>
        <w:numPr>
          <w:ilvl w:val="0"/>
          <w:numId w:val="9"/>
        </w:numPr>
        <w:tabs>
          <w:tab w:val="left" w:pos="1418"/>
        </w:tabs>
        <w:spacing w:line="560" w:lineRule="exact"/>
        <w:ind w:left="0" w:firstLine="640"/>
        <w:rPr>
          <w:rFonts w:ascii="仿宋_GB2312" w:hAnsi="宋体"/>
          <w:sz w:val="32"/>
          <w:szCs w:val="32"/>
        </w:rPr>
      </w:pPr>
      <w:r>
        <w:rPr>
          <w:rFonts w:ascii="仿宋_GB2312" w:hAnsi="宋体" w:hint="eastAsia"/>
          <w:sz w:val="32"/>
          <w:szCs w:val="32"/>
        </w:rPr>
        <w:t>控股股东、实际控制人及其一致行动人出现下列情形的，保荐机构、保荐代表人应当就相关事项对上市公司控制权稳定和日常经营的影响、是否存在侵害上市公司利益的情形以及其他未披露重大风险发表意见并披露：</w:t>
      </w:r>
    </w:p>
    <w:p w14:paraId="1553CB0F" w14:textId="77777777" w:rsidR="000C29B8" w:rsidRDefault="00000000">
      <w:pPr>
        <w:pStyle w:val="afa"/>
        <w:numPr>
          <w:ilvl w:val="0"/>
          <w:numId w:val="12"/>
        </w:numPr>
        <w:tabs>
          <w:tab w:val="left" w:pos="709"/>
          <w:tab w:val="left" w:pos="851"/>
          <w:tab w:val="left" w:pos="993"/>
          <w:tab w:val="left" w:pos="1276"/>
        </w:tabs>
        <w:spacing w:line="560" w:lineRule="exact"/>
        <w:ind w:left="0" w:firstLine="640"/>
        <w:rPr>
          <w:rFonts w:ascii="仿宋_GB2312" w:hAnsi="宋体"/>
          <w:sz w:val="32"/>
          <w:szCs w:val="32"/>
        </w:rPr>
      </w:pPr>
      <w:r>
        <w:rPr>
          <w:rFonts w:ascii="仿宋_GB2312" w:hAnsi="宋体" w:hint="eastAsia"/>
          <w:sz w:val="32"/>
          <w:szCs w:val="32"/>
        </w:rPr>
        <w:t>所持上市公司股份被司法冻结；</w:t>
      </w:r>
    </w:p>
    <w:p w14:paraId="4AA1B585" w14:textId="77777777" w:rsidR="000C29B8" w:rsidRDefault="00000000">
      <w:pPr>
        <w:pStyle w:val="afa"/>
        <w:numPr>
          <w:ilvl w:val="0"/>
          <w:numId w:val="12"/>
        </w:numPr>
        <w:tabs>
          <w:tab w:val="left" w:pos="709"/>
        </w:tabs>
        <w:spacing w:line="560" w:lineRule="exact"/>
        <w:ind w:left="0" w:firstLine="640"/>
        <w:rPr>
          <w:rFonts w:ascii="仿宋_GB2312" w:hAnsi="宋体"/>
          <w:sz w:val="32"/>
          <w:szCs w:val="32"/>
        </w:rPr>
      </w:pPr>
      <w:r>
        <w:rPr>
          <w:rFonts w:ascii="仿宋_GB2312" w:hAnsi="宋体" w:hint="eastAsia"/>
          <w:sz w:val="32"/>
          <w:szCs w:val="32"/>
        </w:rPr>
        <w:t>质押上市公司股份比例超过所持股份80%或者被强制平仓的；</w:t>
      </w:r>
    </w:p>
    <w:p w14:paraId="38BD9C90" w14:textId="77777777" w:rsidR="000C29B8" w:rsidRDefault="00000000">
      <w:pPr>
        <w:pStyle w:val="afa"/>
        <w:numPr>
          <w:ilvl w:val="0"/>
          <w:numId w:val="12"/>
        </w:numPr>
        <w:tabs>
          <w:tab w:val="left" w:pos="709"/>
        </w:tabs>
        <w:spacing w:line="560" w:lineRule="exact"/>
        <w:ind w:left="0" w:firstLine="640"/>
        <w:rPr>
          <w:rFonts w:ascii="仿宋_GB2312" w:hAnsi="宋体"/>
          <w:sz w:val="32"/>
          <w:szCs w:val="32"/>
        </w:rPr>
      </w:pPr>
      <w:r>
        <w:rPr>
          <w:rFonts w:ascii="仿宋_GB2312" w:hAnsi="宋体" w:hint="eastAsia"/>
          <w:sz w:val="32"/>
          <w:szCs w:val="32"/>
        </w:rPr>
        <w:t>本所或者保荐机构认为应当发表意见的其他情形。</w:t>
      </w:r>
    </w:p>
    <w:p w14:paraId="5D2C13B5" w14:textId="77777777" w:rsidR="000C29B8" w:rsidRDefault="00000000">
      <w:pPr>
        <w:pStyle w:val="afa"/>
        <w:numPr>
          <w:ilvl w:val="0"/>
          <w:numId w:val="9"/>
        </w:numPr>
        <w:tabs>
          <w:tab w:val="left" w:pos="1418"/>
        </w:tabs>
        <w:spacing w:line="560" w:lineRule="exact"/>
        <w:ind w:left="0" w:firstLine="640"/>
        <w:rPr>
          <w:rFonts w:ascii="仿宋_GB2312" w:hAnsi="宋体"/>
          <w:sz w:val="32"/>
          <w:szCs w:val="32"/>
        </w:rPr>
      </w:pPr>
      <w:r>
        <w:rPr>
          <w:rFonts w:ascii="仿宋_GB2312" w:hAnsi="仿宋_GB2312" w:cs="仿宋_GB2312" w:hint="eastAsia"/>
          <w:sz w:val="32"/>
          <w:szCs w:val="32"/>
        </w:rPr>
        <w:t>上市公司股票交易出现严重异常波动的</w:t>
      </w:r>
      <w:r>
        <w:rPr>
          <w:rFonts w:ascii="仿宋_GB2312" w:hint="eastAsia"/>
          <w:sz w:val="32"/>
          <w:szCs w:val="32"/>
        </w:rPr>
        <w:t>，</w:t>
      </w:r>
      <w:r>
        <w:rPr>
          <w:rFonts w:ascii="仿宋_GB2312" w:hAnsi="宋体" w:hint="eastAsia"/>
          <w:sz w:val="32"/>
          <w:szCs w:val="32"/>
        </w:rPr>
        <w:t>保荐机构、保荐代表人应当督促上市公司及时按照本规则履行信息</w:t>
      </w:r>
      <w:r>
        <w:rPr>
          <w:rFonts w:ascii="仿宋_GB2312" w:hAnsi="宋体" w:hint="eastAsia"/>
          <w:sz w:val="32"/>
          <w:szCs w:val="32"/>
        </w:rPr>
        <w:lastRenderedPageBreak/>
        <w:t>披露义务。</w:t>
      </w:r>
    </w:p>
    <w:p w14:paraId="7EFCE6F5" w14:textId="77777777" w:rsidR="000C29B8" w:rsidRDefault="00000000">
      <w:pPr>
        <w:pStyle w:val="afa"/>
        <w:numPr>
          <w:ilvl w:val="0"/>
          <w:numId w:val="9"/>
        </w:numPr>
        <w:tabs>
          <w:tab w:val="left" w:pos="1418"/>
        </w:tabs>
        <w:spacing w:line="560" w:lineRule="exact"/>
        <w:ind w:left="0" w:firstLine="640"/>
        <w:rPr>
          <w:rFonts w:ascii="仿宋_GB2312" w:hAnsi="宋体"/>
          <w:sz w:val="32"/>
          <w:szCs w:val="32"/>
        </w:rPr>
      </w:pPr>
      <w:r>
        <w:rPr>
          <w:rFonts w:ascii="仿宋_GB2312" w:hAnsi="仿宋_GB2312" w:cs="仿宋_GB2312" w:hint="eastAsia"/>
          <w:sz w:val="32"/>
          <w:szCs w:val="32"/>
        </w:rPr>
        <w:t>保荐机构、保荐代表人应当督促控股股东、实际控制人、董事、监事、高级管理人员及核心技术人员履行其</w:t>
      </w:r>
      <w:proofErr w:type="gramStart"/>
      <w:r>
        <w:rPr>
          <w:rFonts w:ascii="仿宋_GB2312" w:hAnsi="仿宋_GB2312" w:cs="仿宋_GB2312" w:hint="eastAsia"/>
          <w:sz w:val="32"/>
          <w:szCs w:val="32"/>
        </w:rPr>
        <w:t>作出</w:t>
      </w:r>
      <w:proofErr w:type="gramEnd"/>
      <w:r>
        <w:rPr>
          <w:rFonts w:ascii="仿宋_GB2312" w:hAnsi="仿宋_GB2312" w:cs="仿宋_GB2312" w:hint="eastAsia"/>
          <w:sz w:val="32"/>
          <w:szCs w:val="32"/>
        </w:rPr>
        <w:t>的股份减持承诺，关注前述主体减持公司股份是否合</w:t>
      </w:r>
      <w:proofErr w:type="gramStart"/>
      <w:r>
        <w:rPr>
          <w:rFonts w:ascii="仿宋_GB2312" w:hAnsi="仿宋_GB2312" w:cs="仿宋_GB2312" w:hint="eastAsia"/>
          <w:sz w:val="32"/>
          <w:szCs w:val="32"/>
        </w:rPr>
        <w:t>规</w:t>
      </w:r>
      <w:proofErr w:type="gramEnd"/>
      <w:r>
        <w:rPr>
          <w:rFonts w:ascii="仿宋_GB2312" w:hAnsi="仿宋_GB2312" w:cs="仿宋_GB2312" w:hint="eastAsia"/>
          <w:sz w:val="32"/>
          <w:szCs w:val="32"/>
        </w:rPr>
        <w:t>、对上市公司的影响等情况。</w:t>
      </w:r>
    </w:p>
    <w:p w14:paraId="47354DE6" w14:textId="77777777" w:rsidR="000C29B8" w:rsidRDefault="00000000">
      <w:pPr>
        <w:pStyle w:val="afa"/>
        <w:numPr>
          <w:ilvl w:val="0"/>
          <w:numId w:val="9"/>
        </w:numPr>
        <w:tabs>
          <w:tab w:val="left" w:pos="1418"/>
        </w:tabs>
        <w:spacing w:line="560" w:lineRule="exact"/>
        <w:ind w:left="0" w:firstLine="640"/>
        <w:rPr>
          <w:rFonts w:ascii="仿宋_GB2312" w:hAnsi="宋体"/>
          <w:sz w:val="32"/>
          <w:szCs w:val="32"/>
        </w:rPr>
      </w:pPr>
      <w:r>
        <w:rPr>
          <w:rFonts w:ascii="仿宋_GB2312" w:hAnsi="仿宋_GB2312" w:cs="仿宋_GB2312" w:hint="eastAsia"/>
          <w:sz w:val="32"/>
          <w:szCs w:val="32"/>
        </w:rPr>
        <w:t>保荐机构、保荐代表人应当关注上市公司使用募集资金的情况，督促其合理使用募集资金并持续披露使用情况。</w:t>
      </w:r>
    </w:p>
    <w:p w14:paraId="62FA44FF" w14:textId="77777777" w:rsidR="000C29B8" w:rsidRDefault="00000000">
      <w:pPr>
        <w:pStyle w:val="afa"/>
        <w:numPr>
          <w:ilvl w:val="0"/>
          <w:numId w:val="9"/>
        </w:numPr>
        <w:tabs>
          <w:tab w:val="left" w:pos="1418"/>
        </w:tabs>
        <w:spacing w:line="560" w:lineRule="exact"/>
        <w:ind w:left="0" w:firstLine="640"/>
        <w:rPr>
          <w:rFonts w:ascii="仿宋_GB2312" w:hAnsi="宋体"/>
          <w:sz w:val="32"/>
          <w:szCs w:val="32"/>
        </w:rPr>
      </w:pPr>
      <w:r>
        <w:rPr>
          <w:rFonts w:ascii="仿宋_GB2312" w:hAnsi="宋体" w:hint="eastAsia"/>
          <w:sz w:val="32"/>
          <w:szCs w:val="32"/>
        </w:rPr>
        <w:t>上市公司出现下列情形之一的，保荐机构、保荐代表人应当自知道或者应当知道之日起15日内进行专项现场核查：</w:t>
      </w:r>
    </w:p>
    <w:p w14:paraId="3635DFAD" w14:textId="77777777" w:rsidR="000C29B8" w:rsidRDefault="00000000">
      <w:pPr>
        <w:pStyle w:val="afa"/>
        <w:numPr>
          <w:ilvl w:val="0"/>
          <w:numId w:val="13"/>
        </w:numPr>
        <w:tabs>
          <w:tab w:val="left" w:pos="1418"/>
        </w:tabs>
        <w:spacing w:line="560" w:lineRule="exact"/>
        <w:ind w:left="0" w:firstLine="640"/>
        <w:rPr>
          <w:rFonts w:ascii="仿宋_GB2312" w:hAnsi="宋体"/>
          <w:sz w:val="32"/>
          <w:szCs w:val="32"/>
        </w:rPr>
      </w:pPr>
      <w:r>
        <w:rPr>
          <w:rFonts w:ascii="仿宋_GB2312" w:hAnsi="宋体" w:hint="eastAsia"/>
          <w:sz w:val="32"/>
          <w:szCs w:val="32"/>
        </w:rPr>
        <w:t>存在重大财务造假嫌疑；</w:t>
      </w:r>
    </w:p>
    <w:p w14:paraId="4BD2BF0C" w14:textId="77777777" w:rsidR="000C29B8" w:rsidRDefault="00000000">
      <w:pPr>
        <w:pStyle w:val="afa"/>
        <w:numPr>
          <w:ilvl w:val="0"/>
          <w:numId w:val="13"/>
        </w:numPr>
        <w:tabs>
          <w:tab w:val="left" w:pos="1418"/>
        </w:tabs>
        <w:spacing w:line="560" w:lineRule="exact"/>
        <w:ind w:left="0" w:firstLine="640"/>
        <w:rPr>
          <w:rFonts w:ascii="仿宋_GB2312" w:hAnsi="宋体"/>
          <w:sz w:val="32"/>
          <w:szCs w:val="32"/>
        </w:rPr>
      </w:pPr>
      <w:r>
        <w:rPr>
          <w:rFonts w:ascii="仿宋_GB2312" w:hAnsi="宋体" w:hint="eastAsia"/>
          <w:sz w:val="32"/>
          <w:szCs w:val="32"/>
        </w:rPr>
        <w:t>控股股东、实际控制人、董事、监事或者高级管理人员涉嫌侵占上市公司利益；</w:t>
      </w:r>
    </w:p>
    <w:p w14:paraId="6EF808F9" w14:textId="77777777" w:rsidR="000C29B8" w:rsidRDefault="00000000">
      <w:pPr>
        <w:pStyle w:val="afa"/>
        <w:numPr>
          <w:ilvl w:val="0"/>
          <w:numId w:val="13"/>
        </w:numPr>
        <w:tabs>
          <w:tab w:val="left" w:pos="1418"/>
        </w:tabs>
        <w:spacing w:line="560" w:lineRule="exact"/>
        <w:ind w:left="0" w:firstLine="640"/>
        <w:rPr>
          <w:rFonts w:ascii="仿宋_GB2312" w:hAnsi="宋体"/>
          <w:sz w:val="32"/>
          <w:szCs w:val="32"/>
        </w:rPr>
      </w:pPr>
      <w:r>
        <w:rPr>
          <w:rFonts w:ascii="仿宋_GB2312" w:hAnsi="宋体" w:hint="eastAsia"/>
          <w:sz w:val="32"/>
          <w:szCs w:val="32"/>
        </w:rPr>
        <w:t>可能存在重大违规担保；</w:t>
      </w:r>
    </w:p>
    <w:p w14:paraId="3C7D1B96" w14:textId="77777777" w:rsidR="000C29B8" w:rsidRDefault="00000000">
      <w:pPr>
        <w:pStyle w:val="afa"/>
        <w:numPr>
          <w:ilvl w:val="0"/>
          <w:numId w:val="13"/>
        </w:numPr>
        <w:tabs>
          <w:tab w:val="left" w:pos="1418"/>
        </w:tabs>
        <w:spacing w:line="560" w:lineRule="exact"/>
        <w:ind w:left="0" w:firstLine="640"/>
        <w:rPr>
          <w:rFonts w:ascii="仿宋_GB2312" w:hAnsi="宋体"/>
          <w:sz w:val="32"/>
          <w:szCs w:val="32"/>
        </w:rPr>
      </w:pPr>
      <w:r>
        <w:rPr>
          <w:rFonts w:ascii="仿宋_GB2312" w:hAnsi="宋体" w:hint="eastAsia"/>
          <w:sz w:val="32"/>
          <w:szCs w:val="32"/>
        </w:rPr>
        <w:t>资金往来或者现金</w:t>
      </w:r>
      <w:proofErr w:type="gramStart"/>
      <w:r>
        <w:rPr>
          <w:rFonts w:ascii="仿宋_GB2312" w:hAnsi="宋体" w:hint="eastAsia"/>
          <w:sz w:val="32"/>
          <w:szCs w:val="32"/>
        </w:rPr>
        <w:t>流存在</w:t>
      </w:r>
      <w:proofErr w:type="gramEnd"/>
      <w:r>
        <w:rPr>
          <w:rFonts w:ascii="仿宋_GB2312" w:hAnsi="宋体" w:hint="eastAsia"/>
          <w:sz w:val="32"/>
          <w:szCs w:val="32"/>
        </w:rPr>
        <w:t>重大异常；</w:t>
      </w:r>
    </w:p>
    <w:p w14:paraId="26982F52" w14:textId="77777777" w:rsidR="000C29B8" w:rsidRDefault="00000000">
      <w:pPr>
        <w:pStyle w:val="afa"/>
        <w:numPr>
          <w:ilvl w:val="0"/>
          <w:numId w:val="13"/>
        </w:numPr>
        <w:tabs>
          <w:tab w:val="left" w:pos="1418"/>
        </w:tabs>
        <w:spacing w:line="560" w:lineRule="exact"/>
        <w:ind w:left="0" w:firstLine="640"/>
        <w:rPr>
          <w:rFonts w:ascii="仿宋_GB2312" w:hAnsi="宋体"/>
          <w:sz w:val="32"/>
          <w:szCs w:val="32"/>
        </w:rPr>
      </w:pPr>
      <w:r>
        <w:rPr>
          <w:rFonts w:ascii="仿宋_GB2312" w:hAnsi="宋体" w:hint="eastAsia"/>
          <w:sz w:val="32"/>
          <w:szCs w:val="32"/>
        </w:rPr>
        <w:t>本所或者保荐机构认为应当进行现场核查的其他事项。</w:t>
      </w:r>
    </w:p>
    <w:p w14:paraId="375C30DC" w14:textId="77777777" w:rsidR="000C29B8" w:rsidRDefault="00000000">
      <w:pPr>
        <w:pStyle w:val="afa"/>
        <w:numPr>
          <w:ilvl w:val="0"/>
          <w:numId w:val="9"/>
        </w:numPr>
        <w:tabs>
          <w:tab w:val="left" w:pos="1418"/>
        </w:tabs>
        <w:spacing w:line="560" w:lineRule="exact"/>
        <w:ind w:left="0" w:firstLine="640"/>
        <w:rPr>
          <w:rFonts w:ascii="仿宋_GB2312" w:hAnsi="宋体"/>
          <w:sz w:val="32"/>
          <w:szCs w:val="32"/>
        </w:rPr>
      </w:pPr>
      <w:r>
        <w:rPr>
          <w:rFonts w:ascii="仿宋_GB2312" w:hAnsi="宋体" w:hint="eastAsia"/>
          <w:sz w:val="32"/>
          <w:szCs w:val="32"/>
        </w:rPr>
        <w:t>保荐机构进行现场核查的，应当就核查情况、提请上市公司及投资者关注的问题、本次现场核查结论等事项出具现场核查报告，并在现场核查结束后15个交易日内披露。</w:t>
      </w:r>
    </w:p>
    <w:p w14:paraId="66CB3A1E" w14:textId="77777777" w:rsidR="000C29B8" w:rsidRDefault="00000000">
      <w:pPr>
        <w:pStyle w:val="afa"/>
        <w:numPr>
          <w:ilvl w:val="0"/>
          <w:numId w:val="9"/>
        </w:numPr>
        <w:tabs>
          <w:tab w:val="left" w:pos="1418"/>
        </w:tabs>
        <w:spacing w:line="560" w:lineRule="exact"/>
        <w:ind w:left="0" w:firstLine="640"/>
        <w:rPr>
          <w:rFonts w:ascii="仿宋_GB2312" w:hAnsi="宋体"/>
          <w:sz w:val="32"/>
          <w:szCs w:val="32"/>
        </w:rPr>
      </w:pPr>
      <w:r>
        <w:rPr>
          <w:rFonts w:ascii="仿宋_GB2312" w:hAnsi="宋体" w:hint="eastAsia"/>
          <w:sz w:val="32"/>
          <w:szCs w:val="32"/>
        </w:rPr>
        <w:t>保荐机构应当在上市公司年度报告、半年度报告披露之日起1</w:t>
      </w:r>
      <w:r>
        <w:rPr>
          <w:rFonts w:ascii="仿宋_GB2312" w:hAnsi="宋体"/>
          <w:sz w:val="32"/>
          <w:szCs w:val="32"/>
        </w:rPr>
        <w:t>5</w:t>
      </w:r>
      <w:r>
        <w:rPr>
          <w:rFonts w:ascii="仿宋_GB2312" w:hAnsi="宋体" w:hint="eastAsia"/>
          <w:sz w:val="32"/>
          <w:szCs w:val="32"/>
        </w:rPr>
        <w:t>个交易日内，披露包括下列内容的持续督导</w:t>
      </w:r>
      <w:r>
        <w:rPr>
          <w:rFonts w:ascii="仿宋_GB2312" w:hAnsi="宋体" w:hint="eastAsia"/>
          <w:sz w:val="32"/>
          <w:szCs w:val="32"/>
        </w:rPr>
        <w:lastRenderedPageBreak/>
        <w:t>跟踪报告：</w:t>
      </w:r>
    </w:p>
    <w:p w14:paraId="1D8174B5" w14:textId="77777777" w:rsidR="000C29B8" w:rsidRDefault="00000000">
      <w:pPr>
        <w:pStyle w:val="afa"/>
        <w:numPr>
          <w:ilvl w:val="0"/>
          <w:numId w:val="14"/>
        </w:numPr>
        <w:tabs>
          <w:tab w:val="left" w:pos="1418"/>
          <w:tab w:val="left" w:pos="1560"/>
        </w:tabs>
        <w:spacing w:line="560" w:lineRule="exact"/>
        <w:ind w:left="0" w:firstLine="640"/>
        <w:rPr>
          <w:rFonts w:ascii="仿宋_GB2312" w:hAnsi="宋体"/>
          <w:sz w:val="32"/>
          <w:szCs w:val="32"/>
        </w:rPr>
      </w:pPr>
      <w:r>
        <w:rPr>
          <w:rFonts w:ascii="仿宋_GB2312" w:hAnsi="宋体" w:hint="eastAsia"/>
          <w:sz w:val="32"/>
          <w:szCs w:val="32"/>
        </w:rPr>
        <w:t>保荐机构和保荐代表人发现的问题及整改情况；</w:t>
      </w:r>
    </w:p>
    <w:p w14:paraId="0A66F523" w14:textId="77777777" w:rsidR="000C29B8" w:rsidRDefault="00000000">
      <w:pPr>
        <w:pStyle w:val="afa"/>
        <w:numPr>
          <w:ilvl w:val="0"/>
          <w:numId w:val="14"/>
        </w:numPr>
        <w:tabs>
          <w:tab w:val="left" w:pos="1418"/>
          <w:tab w:val="left" w:pos="1560"/>
        </w:tabs>
        <w:spacing w:line="560" w:lineRule="exact"/>
        <w:ind w:left="0" w:firstLine="640"/>
        <w:rPr>
          <w:rFonts w:ascii="仿宋_GB2312" w:hAnsi="宋体"/>
          <w:sz w:val="32"/>
          <w:szCs w:val="32"/>
        </w:rPr>
      </w:pPr>
      <w:r>
        <w:rPr>
          <w:rFonts w:ascii="仿宋_GB2312" w:hAnsi="宋体" w:hint="eastAsia"/>
          <w:sz w:val="32"/>
          <w:szCs w:val="32"/>
        </w:rPr>
        <w:t>重大风险事项；</w:t>
      </w:r>
    </w:p>
    <w:p w14:paraId="2AD6E7BA" w14:textId="77777777" w:rsidR="000C29B8" w:rsidRDefault="00000000">
      <w:pPr>
        <w:pStyle w:val="afa"/>
        <w:numPr>
          <w:ilvl w:val="0"/>
          <w:numId w:val="14"/>
        </w:numPr>
        <w:tabs>
          <w:tab w:val="left" w:pos="1418"/>
          <w:tab w:val="left" w:pos="1560"/>
        </w:tabs>
        <w:spacing w:line="560" w:lineRule="exact"/>
        <w:ind w:left="0" w:firstLine="640"/>
        <w:rPr>
          <w:rFonts w:ascii="仿宋_GB2312" w:hAnsi="宋体"/>
          <w:sz w:val="32"/>
          <w:szCs w:val="32"/>
        </w:rPr>
      </w:pPr>
      <w:r>
        <w:rPr>
          <w:rFonts w:ascii="仿宋_GB2312" w:hAnsi="宋体"/>
          <w:sz w:val="32"/>
          <w:szCs w:val="32"/>
        </w:rPr>
        <w:t>重大违规事项</w:t>
      </w:r>
      <w:r>
        <w:rPr>
          <w:rFonts w:ascii="仿宋_GB2312" w:hAnsi="宋体" w:hint="eastAsia"/>
          <w:sz w:val="32"/>
          <w:szCs w:val="32"/>
        </w:rPr>
        <w:t>；</w:t>
      </w:r>
    </w:p>
    <w:p w14:paraId="1184A443" w14:textId="77777777" w:rsidR="000C29B8" w:rsidRDefault="00000000">
      <w:pPr>
        <w:pStyle w:val="afa"/>
        <w:numPr>
          <w:ilvl w:val="0"/>
          <w:numId w:val="14"/>
        </w:numPr>
        <w:tabs>
          <w:tab w:val="left" w:pos="1418"/>
          <w:tab w:val="left" w:pos="1560"/>
        </w:tabs>
        <w:spacing w:line="560" w:lineRule="exact"/>
        <w:ind w:left="0" w:firstLine="640"/>
        <w:rPr>
          <w:rFonts w:ascii="仿宋_GB2312" w:hAnsi="宋体"/>
          <w:sz w:val="32"/>
          <w:szCs w:val="32"/>
        </w:rPr>
      </w:pPr>
      <w:r>
        <w:rPr>
          <w:rFonts w:ascii="仿宋_GB2312" w:hAnsi="宋体" w:hint="eastAsia"/>
          <w:sz w:val="32"/>
          <w:szCs w:val="32"/>
        </w:rPr>
        <w:t>主要财务指标的变动原因及合理性；</w:t>
      </w:r>
    </w:p>
    <w:p w14:paraId="289E6214" w14:textId="77777777" w:rsidR="000C29B8" w:rsidRDefault="00000000">
      <w:pPr>
        <w:pStyle w:val="afa"/>
        <w:numPr>
          <w:ilvl w:val="0"/>
          <w:numId w:val="14"/>
        </w:numPr>
        <w:tabs>
          <w:tab w:val="left" w:pos="1418"/>
          <w:tab w:val="left" w:pos="1560"/>
        </w:tabs>
        <w:spacing w:line="560" w:lineRule="exact"/>
        <w:ind w:left="0" w:firstLine="640"/>
        <w:rPr>
          <w:rFonts w:ascii="仿宋_GB2312" w:hAnsi="宋体"/>
          <w:sz w:val="32"/>
          <w:szCs w:val="32"/>
        </w:rPr>
      </w:pPr>
      <w:r>
        <w:rPr>
          <w:rFonts w:ascii="仿宋_GB2312" w:hAnsi="宋体" w:hint="eastAsia"/>
          <w:sz w:val="32"/>
          <w:szCs w:val="32"/>
        </w:rPr>
        <w:t>核心竞争力的变化情况；</w:t>
      </w:r>
    </w:p>
    <w:p w14:paraId="5F255488" w14:textId="77777777" w:rsidR="000C29B8" w:rsidRDefault="00000000">
      <w:pPr>
        <w:pStyle w:val="afa"/>
        <w:numPr>
          <w:ilvl w:val="0"/>
          <w:numId w:val="14"/>
        </w:numPr>
        <w:tabs>
          <w:tab w:val="left" w:pos="1418"/>
          <w:tab w:val="left" w:pos="1560"/>
        </w:tabs>
        <w:spacing w:line="560" w:lineRule="exact"/>
        <w:ind w:left="0" w:firstLine="640"/>
        <w:rPr>
          <w:rFonts w:ascii="仿宋_GB2312" w:hAnsi="宋体"/>
          <w:sz w:val="32"/>
          <w:szCs w:val="32"/>
        </w:rPr>
      </w:pPr>
      <w:r>
        <w:rPr>
          <w:rFonts w:ascii="仿宋_GB2312" w:hAnsi="宋体" w:hint="eastAsia"/>
          <w:sz w:val="32"/>
          <w:szCs w:val="32"/>
        </w:rPr>
        <w:t>研发支出变化及研发进展；</w:t>
      </w:r>
    </w:p>
    <w:p w14:paraId="3628D93F" w14:textId="77777777" w:rsidR="000C29B8" w:rsidRDefault="00000000">
      <w:pPr>
        <w:pStyle w:val="afa"/>
        <w:numPr>
          <w:ilvl w:val="0"/>
          <w:numId w:val="14"/>
        </w:numPr>
        <w:tabs>
          <w:tab w:val="left" w:pos="1418"/>
          <w:tab w:val="left" w:pos="1560"/>
        </w:tabs>
        <w:spacing w:line="560" w:lineRule="exact"/>
        <w:ind w:left="0" w:firstLine="640"/>
        <w:rPr>
          <w:rFonts w:ascii="仿宋_GB2312" w:hAnsi="宋体"/>
          <w:sz w:val="32"/>
          <w:szCs w:val="32"/>
        </w:rPr>
      </w:pPr>
      <w:r>
        <w:rPr>
          <w:rFonts w:ascii="仿宋_GB2312" w:hAnsi="宋体" w:hint="eastAsia"/>
          <w:sz w:val="32"/>
          <w:szCs w:val="32"/>
        </w:rPr>
        <w:t>新增业务进展是否与前期信息披露一致（如有）；</w:t>
      </w:r>
    </w:p>
    <w:p w14:paraId="582318AE" w14:textId="77777777" w:rsidR="000C29B8" w:rsidRDefault="00000000">
      <w:pPr>
        <w:pStyle w:val="afa"/>
        <w:numPr>
          <w:ilvl w:val="0"/>
          <w:numId w:val="14"/>
        </w:numPr>
        <w:tabs>
          <w:tab w:val="left" w:pos="1418"/>
          <w:tab w:val="left" w:pos="1560"/>
        </w:tabs>
        <w:spacing w:line="560" w:lineRule="exact"/>
        <w:ind w:left="0" w:firstLine="640"/>
        <w:rPr>
          <w:rFonts w:ascii="仿宋_GB2312" w:hAnsi="宋体"/>
          <w:sz w:val="32"/>
          <w:szCs w:val="32"/>
        </w:rPr>
      </w:pPr>
      <w:r>
        <w:rPr>
          <w:rFonts w:ascii="仿宋_GB2312" w:hAnsi="宋体" w:hint="eastAsia"/>
          <w:sz w:val="32"/>
          <w:szCs w:val="32"/>
        </w:rPr>
        <w:t>募集资金的使用情况及是否合</w:t>
      </w:r>
      <w:proofErr w:type="gramStart"/>
      <w:r>
        <w:rPr>
          <w:rFonts w:ascii="仿宋_GB2312" w:hAnsi="宋体" w:hint="eastAsia"/>
          <w:sz w:val="32"/>
          <w:szCs w:val="32"/>
        </w:rPr>
        <w:t>规</w:t>
      </w:r>
      <w:proofErr w:type="gramEnd"/>
      <w:r>
        <w:rPr>
          <w:rFonts w:ascii="仿宋_GB2312" w:hAnsi="宋体" w:hint="eastAsia"/>
          <w:sz w:val="32"/>
          <w:szCs w:val="32"/>
        </w:rPr>
        <w:t>；</w:t>
      </w:r>
    </w:p>
    <w:p w14:paraId="5576C066" w14:textId="77777777" w:rsidR="000C29B8" w:rsidRDefault="00000000">
      <w:pPr>
        <w:pStyle w:val="afa"/>
        <w:numPr>
          <w:ilvl w:val="0"/>
          <w:numId w:val="14"/>
        </w:numPr>
        <w:tabs>
          <w:tab w:val="left" w:pos="1418"/>
          <w:tab w:val="left" w:pos="1560"/>
        </w:tabs>
        <w:spacing w:line="560" w:lineRule="exact"/>
        <w:ind w:left="0" w:firstLine="640"/>
        <w:rPr>
          <w:rFonts w:ascii="仿宋_GB2312" w:hAnsi="宋体"/>
          <w:sz w:val="32"/>
          <w:szCs w:val="32"/>
        </w:rPr>
      </w:pPr>
      <w:r>
        <w:rPr>
          <w:rFonts w:ascii="仿宋_GB2312" w:hAnsi="宋体" w:hint="eastAsia"/>
          <w:sz w:val="32"/>
          <w:szCs w:val="32"/>
        </w:rPr>
        <w:t>控股股东、实际控制人、董事、监事和高级管理人员的持股、质押、冻结及减持情况；</w:t>
      </w:r>
    </w:p>
    <w:p w14:paraId="47BFE631" w14:textId="77777777" w:rsidR="000C29B8" w:rsidRDefault="00000000">
      <w:pPr>
        <w:pStyle w:val="afa"/>
        <w:numPr>
          <w:ilvl w:val="0"/>
          <w:numId w:val="14"/>
        </w:numPr>
        <w:tabs>
          <w:tab w:val="left" w:pos="1418"/>
          <w:tab w:val="left" w:pos="1560"/>
        </w:tabs>
        <w:spacing w:line="560" w:lineRule="exact"/>
        <w:ind w:left="0" w:firstLine="640"/>
        <w:rPr>
          <w:rFonts w:ascii="仿宋_GB2312" w:hAnsi="宋体"/>
          <w:sz w:val="32"/>
          <w:szCs w:val="32"/>
        </w:rPr>
      </w:pPr>
      <w:r>
        <w:rPr>
          <w:rFonts w:ascii="仿宋_GB2312" w:hAnsi="宋体" w:hint="eastAsia"/>
          <w:sz w:val="32"/>
          <w:szCs w:val="32"/>
        </w:rPr>
        <w:t>本所或者保荐机构认为应当发表意见的其他事项。</w:t>
      </w:r>
    </w:p>
    <w:p w14:paraId="27EEB72D" w14:textId="77777777" w:rsidR="000C29B8" w:rsidRDefault="00000000">
      <w:pPr>
        <w:tabs>
          <w:tab w:val="left" w:pos="1418"/>
          <w:tab w:val="left" w:pos="1560"/>
        </w:tabs>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上市公司未实现盈利、业绩由盈转亏、营业收入与上年同期相比下降50%以上或者其他主要财务指标异常的，保荐机构应当在持续督导跟踪报告显著位置就上市公司是否存在重大风险发表结论性意见。</w:t>
      </w:r>
    </w:p>
    <w:p w14:paraId="0BF5F6DE" w14:textId="77777777" w:rsidR="000C29B8" w:rsidRDefault="00000000">
      <w:pPr>
        <w:pStyle w:val="afa"/>
        <w:numPr>
          <w:ilvl w:val="0"/>
          <w:numId w:val="9"/>
        </w:numPr>
        <w:tabs>
          <w:tab w:val="left" w:pos="1418"/>
        </w:tabs>
        <w:spacing w:line="560" w:lineRule="exact"/>
        <w:ind w:left="0" w:firstLine="640"/>
        <w:rPr>
          <w:rFonts w:ascii="仿宋_GB2312" w:hAnsi="宋体"/>
          <w:sz w:val="32"/>
          <w:szCs w:val="32"/>
        </w:rPr>
      </w:pPr>
      <w:r>
        <w:rPr>
          <w:rFonts w:ascii="仿宋_GB2312" w:hAnsi="黑体" w:hint="eastAsia"/>
          <w:sz w:val="32"/>
          <w:szCs w:val="32"/>
        </w:rPr>
        <w:t>持续督导工作结束后，保荐机构应当在上市公司年度报告披露之日起的10个交易日内依据中国证监会和本所相关规定，向中国证监会和本所报送保荐总结报告书并披露。</w:t>
      </w:r>
    </w:p>
    <w:p w14:paraId="760C5AFE" w14:textId="77777777" w:rsidR="000C29B8" w:rsidRDefault="000C29B8">
      <w:pPr>
        <w:tabs>
          <w:tab w:val="left" w:pos="1418"/>
        </w:tabs>
        <w:spacing w:line="560" w:lineRule="exact"/>
        <w:ind w:firstLineChars="200" w:firstLine="640"/>
        <w:rPr>
          <w:rFonts w:ascii="仿宋_GB2312" w:eastAsia="仿宋_GB2312" w:hAnsi="宋体"/>
          <w:sz w:val="32"/>
          <w:szCs w:val="32"/>
        </w:rPr>
      </w:pPr>
    </w:p>
    <w:p w14:paraId="530BB2E4" w14:textId="77777777" w:rsidR="000C29B8" w:rsidRDefault="00000000">
      <w:pPr>
        <w:pStyle w:val="6"/>
        <w:rPr>
          <w:b/>
        </w:rPr>
      </w:pPr>
      <w:bookmarkStart w:id="71" w:name="_Toc26877"/>
      <w:r>
        <w:rPr>
          <w:rFonts w:hint="eastAsia"/>
        </w:rPr>
        <w:lastRenderedPageBreak/>
        <w:t>内部治理</w:t>
      </w:r>
      <w:bookmarkEnd w:id="71"/>
    </w:p>
    <w:p w14:paraId="02DAAEF9" w14:textId="77777777" w:rsidR="000C29B8" w:rsidRDefault="00000000">
      <w:pPr>
        <w:pStyle w:val="23"/>
        <w:numPr>
          <w:ilvl w:val="1"/>
          <w:numId w:val="1"/>
        </w:numPr>
        <w:ind w:left="0" w:firstLine="643"/>
      </w:pPr>
      <w:bookmarkStart w:id="72" w:name="_Toc1773"/>
      <w:r>
        <w:rPr>
          <w:rFonts w:hint="eastAsia"/>
        </w:rPr>
        <w:t>控股股东及实际控制人</w:t>
      </w:r>
      <w:bookmarkEnd w:id="72"/>
    </w:p>
    <w:p w14:paraId="1A772747" w14:textId="77777777" w:rsidR="000C29B8" w:rsidRDefault="00000000">
      <w:pPr>
        <w:numPr>
          <w:ilvl w:val="1"/>
          <w:numId w:val="15"/>
        </w:numPr>
        <w:tabs>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上市公司控股股东、实际控制人应当诚实守信，规范行使权利，严格履行承诺，维护上市公司和全体股东的共同利益。</w:t>
      </w:r>
    </w:p>
    <w:p w14:paraId="682A97B3" w14:textId="77777777" w:rsidR="000C29B8" w:rsidRDefault="00000000">
      <w:pPr>
        <w:tabs>
          <w:tab w:val="left" w:pos="0"/>
          <w:tab w:val="left" w:pos="1560"/>
        </w:tabs>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控股股东、实际控制人应当履行信息披露义务，并保证披露信息的真实、准确、完整、及时、公平，不得有虚假记载、误导性陈述或者重大遗漏。</w:t>
      </w:r>
    </w:p>
    <w:p w14:paraId="450A94C1" w14:textId="77777777" w:rsidR="000C29B8" w:rsidRDefault="00000000">
      <w:pPr>
        <w:numPr>
          <w:ilvl w:val="1"/>
          <w:numId w:val="15"/>
        </w:numPr>
        <w:tabs>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控股股东、实际控制人应当在公司股票首次上市前或者控制权变更完成后1个月内，正式签署并向本所提交《控股股东、实际控制人声明及承诺书》。声明事项发生重大变化的，应当在5个交易日内更新并提交。</w:t>
      </w:r>
    </w:p>
    <w:p w14:paraId="41F98B14" w14:textId="77777777" w:rsidR="000C29B8" w:rsidRDefault="00000000">
      <w:pPr>
        <w:tabs>
          <w:tab w:val="left" w:pos="0"/>
          <w:tab w:val="left" w:pos="1560"/>
        </w:tabs>
        <w:autoSpaceDE w:val="0"/>
        <w:autoSpaceDN w:val="0"/>
        <w:adjustRightInd w:val="0"/>
        <w:snapToGrid w:val="0"/>
        <w:spacing w:line="560" w:lineRule="exact"/>
        <w:ind w:firstLineChars="200" w:firstLine="640"/>
        <w:rPr>
          <w:rFonts w:ascii="仿宋_GB2312" w:eastAsia="仿宋_GB2312"/>
          <w:kern w:val="0"/>
          <w:sz w:val="32"/>
          <w:szCs w:val="32"/>
        </w:rPr>
      </w:pPr>
      <w:r>
        <w:rPr>
          <w:rFonts w:ascii="仿宋_GB2312" w:eastAsia="仿宋_GB2312" w:hint="eastAsia"/>
          <w:kern w:val="0"/>
          <w:sz w:val="32"/>
          <w:szCs w:val="32"/>
        </w:rPr>
        <w:t>签署《控股股东、实际控制人声明及承诺书》时，应当由律师见证。</w:t>
      </w:r>
    </w:p>
    <w:p w14:paraId="1D594560" w14:textId="77777777" w:rsidR="000C29B8" w:rsidRDefault="00000000">
      <w:pPr>
        <w:numPr>
          <w:ilvl w:val="1"/>
          <w:numId w:val="15"/>
        </w:numPr>
        <w:tabs>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上市公司控股股东、实际控制人应当维护上市公司独立性，按照上市公司的决策程序行使权利。</w:t>
      </w:r>
    </w:p>
    <w:p w14:paraId="04C735D1" w14:textId="77777777" w:rsidR="000C29B8" w:rsidRDefault="00000000">
      <w:pPr>
        <w:tabs>
          <w:tab w:val="left" w:pos="0"/>
          <w:tab w:val="left" w:pos="1560"/>
        </w:tabs>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控股股东、实际控制人及其关联方不得违反法律法规和公司章程，直接或间接干预公司决策和经营活动，损害公司及其他股东合法权益。</w:t>
      </w:r>
    </w:p>
    <w:p w14:paraId="69684068" w14:textId="77777777" w:rsidR="000C29B8" w:rsidRDefault="00000000">
      <w:pPr>
        <w:numPr>
          <w:ilvl w:val="1"/>
          <w:numId w:val="15"/>
        </w:numPr>
        <w:tabs>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上市公司控股股东、实际控制人不得通过关联交易、资金占用、担保、利润分配、资产重组、对外投资等方式损害上市公司利益，侵害上市公司财产权利，谋取上市公司商业机会。</w:t>
      </w:r>
    </w:p>
    <w:p w14:paraId="5F7BB96F" w14:textId="77777777" w:rsidR="000C29B8" w:rsidRDefault="00000000">
      <w:pPr>
        <w:numPr>
          <w:ilvl w:val="1"/>
          <w:numId w:val="15"/>
        </w:numPr>
        <w:tabs>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上市公司控股股东、实际控制人应当积极配合上</w:t>
      </w:r>
      <w:r>
        <w:rPr>
          <w:rFonts w:ascii="仿宋_GB2312" w:eastAsia="仿宋_GB2312" w:hint="eastAsia"/>
          <w:sz w:val="32"/>
          <w:szCs w:val="32"/>
        </w:rPr>
        <w:lastRenderedPageBreak/>
        <w:t>市公司履行信息披露义务,不得要求或者协助上市公司隐瞒重要信息。</w:t>
      </w:r>
    </w:p>
    <w:p w14:paraId="2885C77E"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上市公司控股股东、实际控制人收到公司问询的，应当及时了解情况并回复，保证回复内容真实、准确和完整。</w:t>
      </w:r>
    </w:p>
    <w:p w14:paraId="2F430364" w14:textId="77777777" w:rsidR="000C29B8" w:rsidRDefault="00000000">
      <w:pPr>
        <w:numPr>
          <w:ilvl w:val="1"/>
          <w:numId w:val="15"/>
        </w:numPr>
        <w:tabs>
          <w:tab w:val="left" w:pos="0"/>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int="eastAsia"/>
          <w:sz w:val="32"/>
          <w:szCs w:val="32"/>
        </w:rPr>
        <w:t>上市公司应当根据股权结构、董事和高级管理人员的提名任免以及其他内部治理情况，客观、审慎地认定控制权归属。</w:t>
      </w:r>
      <w:r>
        <w:rPr>
          <w:rFonts w:ascii="仿宋_GB2312" w:eastAsia="仿宋_GB2312" w:hAnsi="宋体" w:hint="eastAsia"/>
          <w:sz w:val="32"/>
          <w:szCs w:val="32"/>
        </w:rPr>
        <w:t>具有下列情形之一的，构成控制：</w:t>
      </w:r>
    </w:p>
    <w:p w14:paraId="38E5EC45" w14:textId="77777777" w:rsidR="000C29B8" w:rsidRDefault="00000000">
      <w:pPr>
        <w:spacing w:line="560" w:lineRule="exact"/>
        <w:ind w:firstLineChars="200" w:firstLine="640"/>
        <w:rPr>
          <w:rFonts w:ascii="仿宋_GB2312" w:eastAsia="仿宋_GB2312" w:hAnsi="宋体"/>
          <w:kern w:val="28"/>
          <w:sz w:val="32"/>
          <w:szCs w:val="32"/>
        </w:rPr>
      </w:pPr>
      <w:r>
        <w:rPr>
          <w:rFonts w:ascii="仿宋_GB2312" w:eastAsia="仿宋_GB2312" w:hAnsi="宋体" w:hint="eastAsia"/>
          <w:kern w:val="28"/>
          <w:sz w:val="32"/>
          <w:szCs w:val="32"/>
        </w:rPr>
        <w:t>（一）持有上市公司50%以上的股份，但是有相反证据的除外；</w:t>
      </w:r>
    </w:p>
    <w:p w14:paraId="67A5DDD8" w14:textId="77777777" w:rsidR="000C29B8" w:rsidRDefault="00000000">
      <w:pPr>
        <w:spacing w:line="560" w:lineRule="exact"/>
        <w:ind w:firstLineChars="200" w:firstLine="640"/>
        <w:rPr>
          <w:rFonts w:ascii="仿宋_GB2312" w:eastAsia="仿宋_GB2312" w:hAnsi="宋体"/>
          <w:kern w:val="28"/>
          <w:sz w:val="32"/>
          <w:szCs w:val="32"/>
        </w:rPr>
      </w:pPr>
      <w:r>
        <w:rPr>
          <w:rFonts w:ascii="仿宋_GB2312" w:eastAsia="仿宋_GB2312" w:hAnsi="宋体" w:hint="eastAsia"/>
          <w:kern w:val="28"/>
          <w:sz w:val="32"/>
          <w:szCs w:val="32"/>
        </w:rPr>
        <w:t>（二）实际支配上市公司股份表决权超过30%；</w:t>
      </w:r>
    </w:p>
    <w:p w14:paraId="613C8BF2" w14:textId="77777777" w:rsidR="000C29B8" w:rsidRDefault="00000000">
      <w:pPr>
        <w:spacing w:line="560" w:lineRule="exact"/>
        <w:ind w:firstLineChars="200" w:firstLine="640"/>
        <w:rPr>
          <w:rFonts w:ascii="仿宋_GB2312" w:eastAsia="仿宋_GB2312" w:hAnsi="宋体"/>
          <w:kern w:val="28"/>
          <w:sz w:val="32"/>
          <w:szCs w:val="32"/>
        </w:rPr>
      </w:pPr>
      <w:r>
        <w:rPr>
          <w:rFonts w:ascii="仿宋_GB2312" w:eastAsia="仿宋_GB2312" w:hAnsi="宋体" w:hint="eastAsia"/>
          <w:kern w:val="28"/>
          <w:sz w:val="32"/>
          <w:szCs w:val="32"/>
        </w:rPr>
        <w:t>（三）通过实际支配上市公司股份表决权能够决定董事会半数以上成员的任免；</w:t>
      </w:r>
    </w:p>
    <w:p w14:paraId="6AD1B301" w14:textId="77777777" w:rsidR="000C29B8" w:rsidRDefault="00000000">
      <w:pPr>
        <w:spacing w:line="560" w:lineRule="exact"/>
        <w:ind w:firstLineChars="200" w:firstLine="640"/>
        <w:rPr>
          <w:rFonts w:ascii="仿宋_GB2312" w:eastAsia="仿宋_GB2312" w:hAnsi="宋体"/>
          <w:kern w:val="28"/>
          <w:sz w:val="32"/>
          <w:szCs w:val="32"/>
        </w:rPr>
      </w:pPr>
      <w:r>
        <w:rPr>
          <w:rFonts w:ascii="仿宋_GB2312" w:eastAsia="仿宋_GB2312" w:hAnsi="宋体" w:hint="eastAsia"/>
          <w:kern w:val="28"/>
          <w:sz w:val="32"/>
          <w:szCs w:val="32"/>
        </w:rPr>
        <w:t>（四）依其可实际支配的上市公司股份表决权足以对公司股东大会的决议产生重大影响；</w:t>
      </w:r>
    </w:p>
    <w:p w14:paraId="09CD2361" w14:textId="77777777" w:rsidR="000C29B8" w:rsidRDefault="00000000">
      <w:pPr>
        <w:spacing w:line="560" w:lineRule="exact"/>
        <w:ind w:firstLineChars="200" w:firstLine="640"/>
        <w:rPr>
          <w:rFonts w:ascii="仿宋_GB2312" w:eastAsia="仿宋_GB2312" w:hAnsi="宋体"/>
          <w:kern w:val="28"/>
          <w:sz w:val="32"/>
          <w:szCs w:val="32"/>
        </w:rPr>
      </w:pPr>
      <w:r>
        <w:rPr>
          <w:rFonts w:ascii="仿宋_GB2312" w:eastAsia="仿宋_GB2312" w:hAnsi="宋体" w:hint="eastAsia"/>
          <w:kern w:val="28"/>
          <w:sz w:val="32"/>
          <w:szCs w:val="32"/>
        </w:rPr>
        <w:t>（五）可以实际支配或者决定上市公司的重大经营决策、重要人事任命等事项；</w:t>
      </w:r>
    </w:p>
    <w:p w14:paraId="1DD2F703"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Ansi="宋体" w:hint="eastAsia"/>
          <w:kern w:val="28"/>
          <w:sz w:val="32"/>
          <w:szCs w:val="32"/>
        </w:rPr>
        <w:t>（六）中国证监会和本所认定的其他情形。</w:t>
      </w:r>
    </w:p>
    <w:p w14:paraId="415AFF76" w14:textId="77777777" w:rsidR="000C29B8" w:rsidRDefault="00000000">
      <w:pPr>
        <w:tabs>
          <w:tab w:val="left" w:pos="0"/>
          <w:tab w:val="left" w:pos="1560"/>
        </w:tabs>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签署一致行动协议共同控制上市公司的，应当在协议中明确共同控制安排及解除机制。</w:t>
      </w:r>
    </w:p>
    <w:p w14:paraId="5B0735BF" w14:textId="77777777" w:rsidR="000C29B8" w:rsidRDefault="00000000">
      <w:pPr>
        <w:numPr>
          <w:ilvl w:val="1"/>
          <w:numId w:val="15"/>
        </w:numPr>
        <w:tabs>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上市公司控股股东、实际控制人转让控制权的，应当保证公平合理，不得损害上市公司和其他股东的合法权益。</w:t>
      </w:r>
    </w:p>
    <w:p w14:paraId="3EA5BF19"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控股股东、实际控制人转让控制权前存在下列情形的，应当予以解决：</w:t>
      </w:r>
    </w:p>
    <w:p w14:paraId="77A0EC55"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（一）违规占用上市公司资金；</w:t>
      </w:r>
    </w:p>
    <w:p w14:paraId="7397794E"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（二）未清偿对上市公司债务或者未解除上市公司为其提供的担保；</w:t>
      </w:r>
    </w:p>
    <w:p w14:paraId="15158C11"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（三）对上市公司或者其他股东的承诺未履行完毕；</w:t>
      </w:r>
    </w:p>
    <w:p w14:paraId="76AB1CD9"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（四）对上市公司或者中小股东利益存在重大不利影响的其他事项。</w:t>
      </w:r>
    </w:p>
    <w:p w14:paraId="1D7EA546" w14:textId="77777777" w:rsidR="000C29B8" w:rsidRDefault="00000000">
      <w:pPr>
        <w:numPr>
          <w:ilvl w:val="1"/>
          <w:numId w:val="15"/>
        </w:numPr>
        <w:tabs>
          <w:tab w:val="left" w:pos="0"/>
          <w:tab w:val="left" w:pos="156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持有上市公司5%以上股份的契约型基金、信托计划或资产管理计划，应当在权益变动文件中披露支配股份表决权的主体，以及该主体与上市公司控股股东、实际控制人是否存在关联关系。</w:t>
      </w:r>
    </w:p>
    <w:p w14:paraId="1E972C66" w14:textId="77777777" w:rsidR="000C29B8" w:rsidRDefault="00000000">
      <w:pPr>
        <w:tabs>
          <w:tab w:val="left" w:pos="0"/>
          <w:tab w:val="left" w:pos="1560"/>
        </w:tabs>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契约型基金、信托计划或资产管理计划成为上市公司控股股东、第一大股东或者实际控制人的，除应当履行前款规定义务外，还应当在权益变动文件中穿透披露至最终投资者。</w:t>
      </w:r>
    </w:p>
    <w:p w14:paraId="288F00D9" w14:textId="77777777" w:rsidR="000C29B8" w:rsidRDefault="00000000">
      <w:pPr>
        <w:numPr>
          <w:ilvl w:val="1"/>
          <w:numId w:val="15"/>
        </w:numPr>
        <w:tabs>
          <w:tab w:val="left" w:pos="0"/>
          <w:tab w:val="left" w:pos="1560"/>
          <w:tab w:val="left" w:pos="1843"/>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上市公司控股股东、实际控制人应当严格履行承诺，并披露承诺履行情况。承诺事项无法按期履行或者履行承诺将不利于维护公司权益的，承诺方应当立即告知上市公司，提出有效的解决措施，并予以披露。</w:t>
      </w:r>
    </w:p>
    <w:p w14:paraId="11205CBA" w14:textId="77777777" w:rsidR="000C29B8" w:rsidRDefault="00000000">
      <w:pPr>
        <w:tabs>
          <w:tab w:val="left" w:pos="0"/>
          <w:tab w:val="left" w:pos="1560"/>
          <w:tab w:val="left" w:pos="1843"/>
        </w:tabs>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控股股东、实际控制人拟变更承诺的，应当按照中国证监会和本所有关规定履行相应决策程序。</w:t>
      </w:r>
    </w:p>
    <w:p w14:paraId="21920185" w14:textId="77777777" w:rsidR="000C29B8" w:rsidRDefault="00000000">
      <w:pPr>
        <w:pStyle w:val="23"/>
        <w:numPr>
          <w:ilvl w:val="1"/>
          <w:numId w:val="1"/>
        </w:numPr>
        <w:ind w:left="0" w:firstLine="643"/>
      </w:pPr>
      <w:bookmarkStart w:id="73" w:name="_Toc12854"/>
      <w:r>
        <w:rPr>
          <w:rFonts w:hint="eastAsia"/>
        </w:rPr>
        <w:t>董事、监事和高级管理人员</w:t>
      </w:r>
      <w:bookmarkEnd w:id="73"/>
    </w:p>
    <w:p w14:paraId="79511CC3" w14:textId="77777777" w:rsidR="000C29B8" w:rsidRDefault="00000000">
      <w:pPr>
        <w:pStyle w:val="afa"/>
        <w:numPr>
          <w:ilvl w:val="0"/>
          <w:numId w:val="16"/>
        </w:numPr>
        <w:spacing w:line="560" w:lineRule="exact"/>
        <w:ind w:left="0" w:firstLine="640"/>
        <w:rPr>
          <w:rFonts w:ascii="仿宋_GB2312" w:hAnsi="宋体"/>
          <w:sz w:val="32"/>
          <w:szCs w:val="32"/>
        </w:rPr>
      </w:pPr>
      <w:r>
        <w:rPr>
          <w:rFonts w:ascii="仿宋_GB2312" w:hAnsi="宋体" w:hint="eastAsia"/>
          <w:sz w:val="32"/>
          <w:szCs w:val="32"/>
        </w:rPr>
        <w:t>上市公司董事、监事和高级管理人员应当履行忠实、勤勉义务，严格遵守承诺，维护上市公司和全体股东利益。</w:t>
      </w:r>
    </w:p>
    <w:p w14:paraId="37C94FB0" w14:textId="77777777" w:rsidR="000C29B8" w:rsidRDefault="00000000">
      <w:pPr>
        <w:pStyle w:val="afa"/>
        <w:spacing w:line="560" w:lineRule="exact"/>
        <w:ind w:firstLineChars="0" w:firstLine="0"/>
        <w:rPr>
          <w:rFonts w:ascii="仿宋_GB2312" w:hAnsi="宋体"/>
          <w:sz w:val="32"/>
          <w:szCs w:val="32"/>
        </w:rPr>
      </w:pPr>
      <w:r>
        <w:rPr>
          <w:rFonts w:ascii="仿宋_GB2312" w:hAnsi="宋体" w:hint="eastAsia"/>
          <w:sz w:val="32"/>
          <w:szCs w:val="32"/>
        </w:rPr>
        <w:t xml:space="preserve">    独立董事应当在董事会中发挥参与决策、监督制衡、专</w:t>
      </w:r>
      <w:r>
        <w:rPr>
          <w:rFonts w:ascii="仿宋_GB2312" w:hAnsi="宋体" w:hint="eastAsia"/>
          <w:sz w:val="32"/>
          <w:szCs w:val="32"/>
        </w:rPr>
        <w:lastRenderedPageBreak/>
        <w:t>业咨询作用。</w:t>
      </w:r>
    </w:p>
    <w:p w14:paraId="4102EDAD" w14:textId="77777777" w:rsidR="000C29B8" w:rsidRDefault="00000000">
      <w:pPr>
        <w:pStyle w:val="afa"/>
        <w:numPr>
          <w:ilvl w:val="0"/>
          <w:numId w:val="16"/>
        </w:numPr>
        <w:spacing w:line="560" w:lineRule="exact"/>
        <w:ind w:left="0" w:firstLine="640"/>
        <w:rPr>
          <w:rFonts w:ascii="仿宋_GB2312" w:hAnsi="宋体"/>
          <w:sz w:val="32"/>
          <w:szCs w:val="32"/>
        </w:rPr>
      </w:pPr>
      <w:r>
        <w:rPr>
          <w:rFonts w:ascii="仿宋_GB2312" w:hAnsi="宋体" w:hint="eastAsia"/>
          <w:sz w:val="32"/>
          <w:szCs w:val="32"/>
        </w:rPr>
        <w:t>上市公司董事、监事和高级管理人员应当在公司股票首次上市前，新任董事、监事和高级管理人员应当在任职后1个月内，签署并向本所提交《董事（监事、高级管理人员）声明及承诺书》。声明事项发生重大变化的（持有本公司股票的情况除外），董事、监事和高级管理人员应当在5个交易日内更新并提交。</w:t>
      </w:r>
    </w:p>
    <w:p w14:paraId="2864DE6A"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int="eastAsia"/>
          <w:kern w:val="0"/>
          <w:sz w:val="32"/>
          <w:szCs w:val="32"/>
        </w:rPr>
        <w:t>签署《</w:t>
      </w:r>
      <w:r>
        <w:rPr>
          <w:rFonts w:ascii="仿宋_GB2312" w:eastAsia="仿宋_GB2312" w:hAnsi="宋体" w:hint="eastAsia"/>
          <w:sz w:val="32"/>
          <w:szCs w:val="32"/>
        </w:rPr>
        <w:t>董事（监事、高级管理人员）声明及承诺书</w:t>
      </w:r>
      <w:r>
        <w:rPr>
          <w:rFonts w:ascii="仿宋_GB2312" w:eastAsia="仿宋_GB2312" w:hint="eastAsia"/>
          <w:kern w:val="0"/>
          <w:sz w:val="32"/>
          <w:szCs w:val="32"/>
        </w:rPr>
        <w:t>》时，应当由律师见证。</w:t>
      </w:r>
    </w:p>
    <w:p w14:paraId="40B556CF" w14:textId="77777777" w:rsidR="000C29B8" w:rsidRDefault="00000000">
      <w:pPr>
        <w:pStyle w:val="afa"/>
        <w:numPr>
          <w:ilvl w:val="0"/>
          <w:numId w:val="16"/>
        </w:numPr>
        <w:tabs>
          <w:tab w:val="left" w:pos="1560"/>
        </w:tabs>
        <w:spacing w:line="560" w:lineRule="exact"/>
        <w:ind w:left="0" w:firstLine="640"/>
        <w:rPr>
          <w:rFonts w:ascii="仿宋_GB2312" w:hAnsi="黑体"/>
          <w:sz w:val="32"/>
          <w:szCs w:val="32"/>
        </w:rPr>
      </w:pPr>
      <w:r>
        <w:rPr>
          <w:rFonts w:ascii="仿宋_GB2312" w:hAnsi="黑体" w:hint="eastAsia"/>
          <w:sz w:val="32"/>
          <w:szCs w:val="32"/>
        </w:rPr>
        <w:t>上市公司</w:t>
      </w:r>
      <w:r>
        <w:rPr>
          <w:rFonts w:ascii="仿宋_GB2312" w:hAnsi="宋体" w:hint="eastAsia"/>
          <w:sz w:val="32"/>
          <w:szCs w:val="32"/>
        </w:rPr>
        <w:t>董事应当履行以下忠实义务，维护上市公司利益：</w:t>
      </w:r>
    </w:p>
    <w:p w14:paraId="07D015EC" w14:textId="77777777" w:rsidR="000C29B8" w:rsidRDefault="00000000">
      <w:pPr>
        <w:pStyle w:val="afa"/>
        <w:numPr>
          <w:ilvl w:val="3"/>
          <w:numId w:val="1"/>
        </w:numPr>
        <w:tabs>
          <w:tab w:val="clear" w:pos="1980"/>
          <w:tab w:val="left" w:pos="0"/>
          <w:tab w:val="left" w:pos="1560"/>
        </w:tabs>
        <w:autoSpaceDE w:val="0"/>
        <w:autoSpaceDN w:val="0"/>
        <w:snapToGrid w:val="0"/>
        <w:spacing w:line="560" w:lineRule="exact"/>
        <w:ind w:left="0" w:firstLine="640"/>
        <w:rPr>
          <w:rFonts w:ascii="仿宋_GB2312" w:hAnsi="宋体"/>
          <w:sz w:val="32"/>
          <w:szCs w:val="32"/>
        </w:rPr>
      </w:pPr>
      <w:r>
        <w:rPr>
          <w:rFonts w:ascii="仿宋_GB2312" w:hAnsi="宋体" w:hint="eastAsia"/>
          <w:sz w:val="32"/>
          <w:szCs w:val="32"/>
        </w:rPr>
        <w:t>维护上市公司及全体股东利益，不得为实际控制人、股东、员工、本人或者</w:t>
      </w:r>
      <w:proofErr w:type="gramStart"/>
      <w:r>
        <w:rPr>
          <w:rFonts w:ascii="仿宋_GB2312" w:hAnsi="宋体" w:hint="eastAsia"/>
          <w:sz w:val="32"/>
          <w:szCs w:val="32"/>
        </w:rPr>
        <w:t>其他第三</w:t>
      </w:r>
      <w:proofErr w:type="gramEnd"/>
      <w:r>
        <w:rPr>
          <w:rFonts w:ascii="仿宋_GB2312" w:hAnsi="宋体" w:hint="eastAsia"/>
          <w:sz w:val="32"/>
          <w:szCs w:val="32"/>
        </w:rPr>
        <w:t>方的利益损害上市公司利益；</w:t>
      </w:r>
    </w:p>
    <w:p w14:paraId="54E5C697" w14:textId="77777777" w:rsidR="000C29B8" w:rsidRDefault="00000000">
      <w:pPr>
        <w:pStyle w:val="afa"/>
        <w:numPr>
          <w:ilvl w:val="3"/>
          <w:numId w:val="1"/>
        </w:numPr>
        <w:tabs>
          <w:tab w:val="clear" w:pos="1980"/>
          <w:tab w:val="left" w:pos="0"/>
          <w:tab w:val="left" w:pos="1560"/>
        </w:tabs>
        <w:autoSpaceDE w:val="0"/>
        <w:autoSpaceDN w:val="0"/>
        <w:snapToGrid w:val="0"/>
        <w:spacing w:line="560" w:lineRule="exact"/>
        <w:ind w:left="0" w:firstLine="640"/>
        <w:rPr>
          <w:rFonts w:ascii="仿宋_GB2312" w:hAnsi="宋体"/>
          <w:sz w:val="32"/>
          <w:szCs w:val="32"/>
        </w:rPr>
      </w:pPr>
      <w:r>
        <w:rPr>
          <w:rFonts w:ascii="仿宋_GB2312" w:hAnsi="宋体" w:hint="eastAsia"/>
          <w:sz w:val="32"/>
          <w:szCs w:val="32"/>
        </w:rPr>
        <w:t>未经股东大会同意，不得为本人及其近亲属谋取属于上市公司的商业机会，不得自营、委托他人经营上市公司同类业务；</w:t>
      </w:r>
    </w:p>
    <w:p w14:paraId="0E00701E" w14:textId="77777777" w:rsidR="000C29B8" w:rsidRDefault="00000000">
      <w:pPr>
        <w:pStyle w:val="afa"/>
        <w:numPr>
          <w:ilvl w:val="3"/>
          <w:numId w:val="1"/>
        </w:numPr>
        <w:tabs>
          <w:tab w:val="clear" w:pos="1980"/>
          <w:tab w:val="left" w:pos="0"/>
        </w:tabs>
        <w:autoSpaceDE w:val="0"/>
        <w:autoSpaceDN w:val="0"/>
        <w:snapToGrid w:val="0"/>
        <w:spacing w:line="560" w:lineRule="exact"/>
        <w:ind w:left="0" w:firstLine="640"/>
        <w:rPr>
          <w:rFonts w:ascii="仿宋_GB2312" w:hAnsi="宋体"/>
          <w:sz w:val="32"/>
          <w:szCs w:val="32"/>
        </w:rPr>
      </w:pPr>
      <w:r>
        <w:rPr>
          <w:rFonts w:ascii="仿宋_GB2312" w:hAnsi="宋体" w:hint="eastAsia"/>
          <w:sz w:val="32"/>
          <w:szCs w:val="32"/>
        </w:rPr>
        <w:t>保守商业秘密，不得泄露尚未披露的重大信息，不得利用内幕信息获取不法利益，离职后履行与公司约定的竞业禁止义务；</w:t>
      </w:r>
    </w:p>
    <w:p w14:paraId="41D9D988" w14:textId="77777777" w:rsidR="000C29B8" w:rsidRDefault="00000000">
      <w:pPr>
        <w:pStyle w:val="afa"/>
        <w:numPr>
          <w:ilvl w:val="3"/>
          <w:numId w:val="1"/>
        </w:numPr>
        <w:tabs>
          <w:tab w:val="clear" w:pos="1980"/>
          <w:tab w:val="left" w:pos="0"/>
        </w:tabs>
        <w:autoSpaceDE w:val="0"/>
        <w:autoSpaceDN w:val="0"/>
        <w:snapToGrid w:val="0"/>
        <w:spacing w:line="560" w:lineRule="exact"/>
        <w:ind w:left="0" w:firstLine="640"/>
        <w:rPr>
          <w:rFonts w:ascii="仿宋_GB2312" w:hAnsi="宋体"/>
          <w:sz w:val="32"/>
          <w:szCs w:val="32"/>
        </w:rPr>
      </w:pPr>
      <w:r>
        <w:rPr>
          <w:rFonts w:ascii="仿宋_GB2312" w:hAnsi="宋体" w:hint="eastAsia"/>
          <w:sz w:val="32"/>
          <w:szCs w:val="32"/>
        </w:rPr>
        <w:t xml:space="preserve">法律法规、本规则以及本所其他规定、公司章程规定的其他忠实义务。 </w:t>
      </w:r>
    </w:p>
    <w:p w14:paraId="5D7B1DCE" w14:textId="77777777" w:rsidR="000C29B8" w:rsidRDefault="00000000">
      <w:pPr>
        <w:pStyle w:val="afa"/>
        <w:numPr>
          <w:ilvl w:val="0"/>
          <w:numId w:val="16"/>
        </w:numPr>
        <w:spacing w:line="560" w:lineRule="exact"/>
        <w:ind w:left="0" w:firstLine="640"/>
        <w:rPr>
          <w:rFonts w:ascii="仿宋_GB2312" w:hAnsi="宋体"/>
          <w:sz w:val="32"/>
          <w:szCs w:val="32"/>
        </w:rPr>
      </w:pPr>
      <w:r>
        <w:rPr>
          <w:rFonts w:ascii="仿宋_GB2312" w:hAnsi="宋体" w:hint="eastAsia"/>
          <w:sz w:val="32"/>
          <w:szCs w:val="32"/>
        </w:rPr>
        <w:t>上市公司董事应当履行以下勤勉义务，不得</w:t>
      </w:r>
      <w:proofErr w:type="gramStart"/>
      <w:r>
        <w:rPr>
          <w:rFonts w:ascii="仿宋_GB2312" w:hAnsi="宋体" w:hint="eastAsia"/>
          <w:sz w:val="32"/>
          <w:szCs w:val="32"/>
        </w:rPr>
        <w:t>怠</w:t>
      </w:r>
      <w:proofErr w:type="gramEnd"/>
      <w:r>
        <w:rPr>
          <w:rFonts w:ascii="仿宋_GB2312" w:hAnsi="宋体" w:hint="eastAsia"/>
          <w:sz w:val="32"/>
          <w:szCs w:val="32"/>
        </w:rPr>
        <w:t>于履行职责：</w:t>
      </w:r>
    </w:p>
    <w:p w14:paraId="57335B26" w14:textId="77777777" w:rsidR="000C29B8" w:rsidRDefault="00000000">
      <w:pPr>
        <w:pStyle w:val="afa"/>
        <w:numPr>
          <w:ilvl w:val="0"/>
          <w:numId w:val="17"/>
        </w:numPr>
        <w:tabs>
          <w:tab w:val="left" w:pos="1418"/>
          <w:tab w:val="left" w:pos="1560"/>
        </w:tabs>
        <w:autoSpaceDE w:val="0"/>
        <w:autoSpaceDN w:val="0"/>
        <w:snapToGrid w:val="0"/>
        <w:spacing w:line="560" w:lineRule="exact"/>
        <w:ind w:left="0" w:firstLine="640"/>
        <w:rPr>
          <w:rFonts w:ascii="仿宋_GB2312" w:hAnsi="宋体"/>
          <w:sz w:val="32"/>
          <w:szCs w:val="32"/>
        </w:rPr>
      </w:pPr>
      <w:r>
        <w:rPr>
          <w:rFonts w:ascii="仿宋_GB2312" w:hAnsi="宋体" w:hint="eastAsia"/>
          <w:sz w:val="32"/>
          <w:szCs w:val="32"/>
        </w:rPr>
        <w:lastRenderedPageBreak/>
        <w:t>保证有足够的时间和精力参与上市公司事务，审慎判断审议事项可能产生的风险和收益；原则上应当亲自出席董事会会议，因故授权其他董事代为出席的，应当审慎选择受托人，授权事项和决策意向应当具体明确，不得全权委托；</w:t>
      </w:r>
    </w:p>
    <w:p w14:paraId="683CAF8C" w14:textId="77777777" w:rsidR="000C29B8" w:rsidRDefault="00000000">
      <w:pPr>
        <w:pStyle w:val="afa"/>
        <w:numPr>
          <w:ilvl w:val="0"/>
          <w:numId w:val="17"/>
        </w:numPr>
        <w:tabs>
          <w:tab w:val="left" w:pos="1418"/>
          <w:tab w:val="left" w:pos="1560"/>
        </w:tabs>
        <w:autoSpaceDE w:val="0"/>
        <w:autoSpaceDN w:val="0"/>
        <w:snapToGrid w:val="0"/>
        <w:spacing w:line="560" w:lineRule="exact"/>
        <w:ind w:left="0" w:firstLine="640"/>
        <w:rPr>
          <w:rFonts w:ascii="仿宋_GB2312" w:hAnsi="宋体"/>
          <w:sz w:val="32"/>
          <w:szCs w:val="32"/>
        </w:rPr>
      </w:pPr>
      <w:r>
        <w:rPr>
          <w:rFonts w:ascii="仿宋_GB2312" w:hAnsi="宋体" w:hint="eastAsia"/>
          <w:sz w:val="32"/>
          <w:szCs w:val="32"/>
        </w:rPr>
        <w:t>关注公司经营状况等事项，及时向董事会报告相关问题和风险，不得以对公司业务不熟悉或者对相关事项不了解为由主张免除责任；</w:t>
      </w:r>
    </w:p>
    <w:p w14:paraId="7B277987" w14:textId="77777777" w:rsidR="000C29B8" w:rsidRDefault="00000000">
      <w:pPr>
        <w:pStyle w:val="afa"/>
        <w:numPr>
          <w:ilvl w:val="0"/>
          <w:numId w:val="17"/>
        </w:numPr>
        <w:tabs>
          <w:tab w:val="left" w:pos="1418"/>
          <w:tab w:val="left" w:pos="1560"/>
        </w:tabs>
        <w:autoSpaceDE w:val="0"/>
        <w:autoSpaceDN w:val="0"/>
        <w:snapToGrid w:val="0"/>
        <w:spacing w:line="560" w:lineRule="exact"/>
        <w:ind w:left="0" w:firstLine="640"/>
        <w:rPr>
          <w:rFonts w:ascii="仿宋_GB2312" w:hAnsi="宋体"/>
          <w:sz w:val="32"/>
          <w:szCs w:val="32"/>
        </w:rPr>
      </w:pPr>
      <w:r>
        <w:rPr>
          <w:rFonts w:ascii="仿宋_GB2312" w:hAnsi="宋体" w:hint="eastAsia"/>
          <w:sz w:val="32"/>
          <w:szCs w:val="32"/>
        </w:rPr>
        <w:t>积极推动公司规范运行，督促公司履行信息披露义务，及时纠正和报告公司的违规行为，支持公司履行社会责任；</w:t>
      </w:r>
    </w:p>
    <w:p w14:paraId="346E30EC" w14:textId="77777777" w:rsidR="000C29B8" w:rsidRDefault="00000000">
      <w:pPr>
        <w:pStyle w:val="afa"/>
        <w:numPr>
          <w:ilvl w:val="0"/>
          <w:numId w:val="17"/>
        </w:numPr>
        <w:tabs>
          <w:tab w:val="left" w:pos="1418"/>
          <w:tab w:val="left" w:pos="1560"/>
        </w:tabs>
        <w:autoSpaceDE w:val="0"/>
        <w:autoSpaceDN w:val="0"/>
        <w:snapToGrid w:val="0"/>
        <w:spacing w:line="560" w:lineRule="exact"/>
        <w:ind w:left="0" w:firstLine="640"/>
        <w:rPr>
          <w:rFonts w:ascii="仿宋_GB2312" w:hAnsi="宋体"/>
          <w:sz w:val="32"/>
          <w:szCs w:val="32"/>
        </w:rPr>
      </w:pPr>
      <w:r>
        <w:rPr>
          <w:rFonts w:ascii="仿宋_GB2312" w:hAnsi="宋体" w:hint="eastAsia"/>
          <w:sz w:val="32"/>
          <w:szCs w:val="32"/>
        </w:rPr>
        <w:t xml:space="preserve">法律法规、本规则以及本所其他规定、公司章程规定的其他勤勉义务。 </w:t>
      </w:r>
    </w:p>
    <w:p w14:paraId="02579166" w14:textId="77777777" w:rsidR="000C29B8" w:rsidRDefault="00000000">
      <w:pPr>
        <w:pStyle w:val="afa"/>
        <w:numPr>
          <w:ilvl w:val="0"/>
          <w:numId w:val="16"/>
        </w:numPr>
        <w:spacing w:line="560" w:lineRule="exact"/>
        <w:ind w:left="0" w:firstLine="640"/>
        <w:rPr>
          <w:rFonts w:ascii="仿宋_GB2312" w:hAnsi="黑体"/>
          <w:color w:val="000000"/>
          <w:sz w:val="32"/>
          <w:szCs w:val="32"/>
        </w:rPr>
      </w:pPr>
      <w:r>
        <w:rPr>
          <w:rFonts w:ascii="仿宋_GB2312" w:hAnsi="黑体" w:hint="eastAsia"/>
          <w:color w:val="000000"/>
          <w:sz w:val="32"/>
          <w:szCs w:val="32"/>
        </w:rPr>
        <w:t>董事每届任期不得超过3年，任期届满可连选连任。董事由股东大会选举和更换，并可在任期届满前由股东大会解除其职务。</w:t>
      </w:r>
    </w:p>
    <w:p w14:paraId="7471AA5A"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上市公司监事和高级管理人员应当参照第4.2.3条和第4.2.4条的规定，履行忠实和勤勉义务。</w:t>
      </w:r>
    </w:p>
    <w:p w14:paraId="47A136A8" w14:textId="77777777" w:rsidR="000C29B8" w:rsidRDefault="00000000">
      <w:pPr>
        <w:pStyle w:val="afa"/>
        <w:numPr>
          <w:ilvl w:val="0"/>
          <w:numId w:val="16"/>
        </w:numPr>
        <w:spacing w:line="560" w:lineRule="exact"/>
        <w:ind w:left="0" w:firstLine="640"/>
        <w:rPr>
          <w:rFonts w:ascii="仿宋_GB2312" w:hAnsi="宋体"/>
          <w:sz w:val="32"/>
          <w:szCs w:val="32"/>
        </w:rPr>
      </w:pPr>
      <w:r>
        <w:rPr>
          <w:rFonts w:ascii="仿宋_GB2312" w:hAnsi="黑体" w:hint="eastAsia"/>
          <w:sz w:val="32"/>
          <w:szCs w:val="32"/>
        </w:rPr>
        <w:t>上市公司最迟应当在发布召开关于选举独立董事的股东大会通知时</w:t>
      </w:r>
      <w:r>
        <w:rPr>
          <w:rFonts w:ascii="仿宋_GB2312" w:hAnsi="宋体" w:hint="eastAsia"/>
          <w:sz w:val="32"/>
          <w:szCs w:val="32"/>
        </w:rPr>
        <w:t>，将所有独立董事候选人的有关材料（包括但不限于提名人声明与承诺、候选人声明与承诺、独立董事履历表）报送本所，并保证报送材料的真实、准确、完整。提名人应当在声明与承诺中承诺，被提名人与其不存在利害关系或者其他可能影响被提名人独立履职的情形。</w:t>
      </w:r>
    </w:p>
    <w:p w14:paraId="0EBAB475" w14:textId="77777777" w:rsidR="000C29B8" w:rsidRDefault="00000000">
      <w:pPr>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公司董事会对独立董事候选人的有关情况有异议的，应当同时报送董事会的书面意见。</w:t>
      </w:r>
    </w:p>
    <w:p w14:paraId="2BA9B5C9" w14:textId="77777777" w:rsidR="000C29B8" w:rsidRDefault="00000000">
      <w:pPr>
        <w:ind w:firstLineChars="200" w:firstLine="640"/>
        <w:rPr>
          <w:rFonts w:ascii="仿宋_GB2312" w:eastAsia="仿宋_GB2312" w:hAnsi="宋体"/>
          <w:sz w:val="32"/>
          <w:szCs w:val="32"/>
        </w:rPr>
      </w:pPr>
      <w:r>
        <w:rPr>
          <w:rFonts w:ascii="仿宋_GB2312" w:eastAsia="仿宋_GB2312" w:hAnsi="宋体" w:hint="eastAsia"/>
          <w:sz w:val="32"/>
          <w:szCs w:val="32"/>
        </w:rPr>
        <w:t>在召开股东大会选举独立董事时，公司董事会应当对独立董事候选人是否被本所提出异议的情况进行说明。对于本所提出异议的独立董事候选人，公司不得提交股东大会选举。</w:t>
      </w:r>
    </w:p>
    <w:p w14:paraId="28AFAC39" w14:textId="77777777" w:rsidR="000C29B8" w:rsidRDefault="00000000">
      <w:pPr>
        <w:pStyle w:val="afa"/>
        <w:numPr>
          <w:ilvl w:val="0"/>
          <w:numId w:val="16"/>
        </w:numPr>
        <w:spacing w:line="560" w:lineRule="exact"/>
        <w:ind w:left="0" w:firstLine="640"/>
        <w:rPr>
          <w:rFonts w:ascii="仿宋_GB2312" w:hAnsi="宋体"/>
          <w:sz w:val="32"/>
          <w:szCs w:val="32"/>
        </w:rPr>
      </w:pPr>
      <w:r>
        <w:rPr>
          <w:rFonts w:ascii="仿宋_GB2312" w:hAnsi="宋体" w:hint="eastAsia"/>
          <w:sz w:val="32"/>
          <w:szCs w:val="32"/>
        </w:rPr>
        <w:t>独立董事履行下列职责：</w:t>
      </w:r>
    </w:p>
    <w:p w14:paraId="766ED621" w14:textId="77777777" w:rsidR="000C29B8" w:rsidRDefault="00000000">
      <w:pPr>
        <w:pStyle w:val="afa"/>
        <w:spacing w:line="560" w:lineRule="exact"/>
        <w:ind w:firstLineChars="0" w:firstLine="0"/>
        <w:rPr>
          <w:rFonts w:ascii="仿宋_GB2312" w:hAnsi="宋体"/>
          <w:sz w:val="32"/>
          <w:szCs w:val="32"/>
        </w:rPr>
      </w:pPr>
      <w:r>
        <w:rPr>
          <w:rFonts w:ascii="仿宋_GB2312" w:hAnsi="宋体"/>
          <w:sz w:val="32"/>
          <w:szCs w:val="32"/>
        </w:rPr>
        <w:t xml:space="preserve">    </w:t>
      </w:r>
      <w:r>
        <w:rPr>
          <w:rFonts w:ascii="仿宋_GB2312" w:hAnsi="宋体" w:hint="eastAsia"/>
          <w:sz w:val="32"/>
          <w:szCs w:val="32"/>
        </w:rPr>
        <w:t>（一）参与董事会决策并对所议事</w:t>
      </w:r>
      <w:proofErr w:type="gramStart"/>
      <w:r>
        <w:rPr>
          <w:rFonts w:ascii="仿宋_GB2312" w:hAnsi="宋体" w:hint="eastAsia"/>
          <w:sz w:val="32"/>
          <w:szCs w:val="32"/>
        </w:rPr>
        <w:t>项发表</w:t>
      </w:r>
      <w:proofErr w:type="gramEnd"/>
      <w:r>
        <w:rPr>
          <w:rFonts w:ascii="仿宋_GB2312" w:hAnsi="宋体" w:hint="eastAsia"/>
          <w:sz w:val="32"/>
          <w:szCs w:val="32"/>
        </w:rPr>
        <w:t>明确意见；</w:t>
      </w:r>
    </w:p>
    <w:p w14:paraId="15199E83" w14:textId="77777777" w:rsidR="000C29B8" w:rsidRDefault="00000000">
      <w:pPr>
        <w:pStyle w:val="afa"/>
        <w:spacing w:line="560" w:lineRule="exact"/>
        <w:ind w:firstLineChars="0" w:firstLine="0"/>
        <w:rPr>
          <w:rFonts w:ascii="仿宋_GB2312" w:hAnsi="宋体"/>
          <w:sz w:val="32"/>
          <w:szCs w:val="32"/>
        </w:rPr>
      </w:pPr>
      <w:r>
        <w:rPr>
          <w:rFonts w:ascii="仿宋_GB2312" w:hAnsi="宋体"/>
          <w:sz w:val="32"/>
          <w:szCs w:val="32"/>
        </w:rPr>
        <w:t xml:space="preserve">    （二）</w:t>
      </w:r>
      <w:r>
        <w:rPr>
          <w:rFonts w:ascii="仿宋_GB2312" w:hAnsi="宋体" w:hint="eastAsia"/>
          <w:sz w:val="32"/>
          <w:szCs w:val="32"/>
        </w:rPr>
        <w:t>按照《上市公司独立董事管理办法》的有关规定，对上市公司与其控股股东、实际控制人、董事、高级管理人员之间的潜在重大利益冲突事项进行监督，促使董事会决策符合公司整体利益，保护中小股东的合法权益；</w:t>
      </w:r>
    </w:p>
    <w:p w14:paraId="12E2B812" w14:textId="77777777" w:rsidR="000C29B8" w:rsidRDefault="00000000">
      <w:pPr>
        <w:pStyle w:val="afa"/>
        <w:spacing w:line="560" w:lineRule="exact"/>
        <w:ind w:firstLine="640"/>
        <w:rPr>
          <w:rFonts w:ascii="仿宋_GB2312" w:hAnsi="宋体"/>
          <w:sz w:val="32"/>
          <w:szCs w:val="32"/>
        </w:rPr>
      </w:pPr>
      <w:r>
        <w:rPr>
          <w:rFonts w:ascii="仿宋_GB2312" w:hAnsi="宋体" w:hint="eastAsia"/>
          <w:sz w:val="32"/>
          <w:szCs w:val="32"/>
        </w:rPr>
        <w:t>（三）对上市公司经营发展提供专业、客观的建议，促进提升董事会决策水平；</w:t>
      </w:r>
    </w:p>
    <w:p w14:paraId="1EBC5206" w14:textId="77777777" w:rsidR="000C29B8" w:rsidRDefault="00000000">
      <w:pPr>
        <w:pStyle w:val="afa"/>
        <w:ind w:firstLine="640"/>
        <w:rPr>
          <w:rFonts w:ascii="仿宋_GB2312" w:hAnsi="宋体"/>
          <w:sz w:val="32"/>
          <w:szCs w:val="32"/>
        </w:rPr>
      </w:pPr>
      <w:r>
        <w:rPr>
          <w:rFonts w:ascii="仿宋_GB2312" w:hAnsi="宋体" w:hint="eastAsia"/>
          <w:sz w:val="32"/>
          <w:szCs w:val="32"/>
        </w:rPr>
        <w:t>（四）法律法规、本所相关规定及公司章程规定的其他职责。</w:t>
      </w:r>
    </w:p>
    <w:p w14:paraId="39A36E98" w14:textId="77777777" w:rsidR="000C29B8" w:rsidRDefault="00000000">
      <w:pPr>
        <w:pStyle w:val="afa"/>
        <w:tabs>
          <w:tab w:val="left" w:pos="4962"/>
        </w:tabs>
        <w:ind w:firstLine="640"/>
        <w:rPr>
          <w:rFonts w:ascii="仿宋_GB2312" w:hAnsi="宋体"/>
          <w:sz w:val="32"/>
          <w:szCs w:val="32"/>
        </w:rPr>
      </w:pPr>
      <w:r>
        <w:rPr>
          <w:rFonts w:ascii="仿宋_GB2312" w:hAnsi="宋体" w:hint="eastAsia"/>
          <w:sz w:val="32"/>
          <w:szCs w:val="32"/>
        </w:rPr>
        <w:t>独立董事应当独立、公正地履行职责，不受上市公司及其主要股东、实际控制人等单位或个人的影响。</w:t>
      </w:r>
    </w:p>
    <w:p w14:paraId="4DD6A2D2" w14:textId="77777777" w:rsidR="000C29B8" w:rsidRDefault="00000000">
      <w:pPr>
        <w:pStyle w:val="afa"/>
        <w:numPr>
          <w:ilvl w:val="0"/>
          <w:numId w:val="16"/>
        </w:numPr>
        <w:tabs>
          <w:tab w:val="left" w:pos="1560"/>
        </w:tabs>
        <w:spacing w:line="560" w:lineRule="exact"/>
        <w:ind w:left="0" w:firstLine="640"/>
        <w:rPr>
          <w:rFonts w:ascii="仿宋_GB2312" w:hAnsi="宋体"/>
          <w:sz w:val="32"/>
          <w:szCs w:val="32"/>
        </w:rPr>
      </w:pPr>
      <w:r>
        <w:rPr>
          <w:rFonts w:ascii="仿宋_GB2312" w:hAnsi="宋体" w:hint="eastAsia"/>
          <w:sz w:val="32"/>
          <w:szCs w:val="32"/>
        </w:rPr>
        <w:t>独立董事行使下列特别职权：</w:t>
      </w:r>
    </w:p>
    <w:p w14:paraId="3E3137D1" w14:textId="77777777" w:rsidR="000C29B8" w:rsidRDefault="00000000">
      <w:pPr>
        <w:pStyle w:val="afa"/>
        <w:tabs>
          <w:tab w:val="left" w:pos="1560"/>
        </w:tabs>
        <w:spacing w:line="560" w:lineRule="exact"/>
        <w:ind w:firstLine="640"/>
        <w:rPr>
          <w:rFonts w:ascii="仿宋_GB2312" w:hAnsi="宋体"/>
          <w:sz w:val="32"/>
          <w:szCs w:val="32"/>
        </w:rPr>
      </w:pPr>
      <w:r>
        <w:rPr>
          <w:rFonts w:ascii="仿宋_GB2312" w:hAnsi="宋体" w:hint="eastAsia"/>
          <w:sz w:val="32"/>
          <w:szCs w:val="32"/>
        </w:rPr>
        <w:t>（一）独立聘请中介机构，对上市公司具体事项进行审计、咨询或核查；</w:t>
      </w:r>
    </w:p>
    <w:p w14:paraId="01372B7D" w14:textId="77777777" w:rsidR="000C29B8" w:rsidRDefault="00000000">
      <w:pPr>
        <w:pStyle w:val="afa"/>
        <w:tabs>
          <w:tab w:val="left" w:pos="1560"/>
        </w:tabs>
        <w:spacing w:line="560" w:lineRule="exact"/>
        <w:ind w:firstLine="640"/>
        <w:rPr>
          <w:rFonts w:ascii="仿宋_GB2312" w:hAnsi="宋体"/>
          <w:sz w:val="32"/>
          <w:szCs w:val="32"/>
        </w:rPr>
      </w:pPr>
      <w:r>
        <w:rPr>
          <w:rFonts w:ascii="仿宋_GB2312" w:hAnsi="宋体" w:hint="eastAsia"/>
          <w:sz w:val="32"/>
          <w:szCs w:val="32"/>
        </w:rPr>
        <w:t>（二）向董事会提议召开临时股东大会；</w:t>
      </w:r>
    </w:p>
    <w:p w14:paraId="3C8C16BA" w14:textId="77777777" w:rsidR="000C29B8" w:rsidRDefault="00000000">
      <w:pPr>
        <w:pStyle w:val="afa"/>
        <w:tabs>
          <w:tab w:val="left" w:pos="1560"/>
        </w:tabs>
        <w:spacing w:line="560" w:lineRule="exact"/>
        <w:ind w:firstLine="640"/>
        <w:rPr>
          <w:rFonts w:ascii="仿宋_GB2312" w:hAnsi="宋体"/>
          <w:sz w:val="32"/>
          <w:szCs w:val="32"/>
        </w:rPr>
      </w:pPr>
      <w:r>
        <w:rPr>
          <w:rFonts w:ascii="仿宋_GB2312" w:hAnsi="宋体" w:hint="eastAsia"/>
          <w:sz w:val="32"/>
          <w:szCs w:val="32"/>
        </w:rPr>
        <w:t>（三）提议召开董事会；</w:t>
      </w:r>
    </w:p>
    <w:p w14:paraId="6550BFE0" w14:textId="77777777" w:rsidR="000C29B8" w:rsidRDefault="00000000">
      <w:pPr>
        <w:pStyle w:val="afa"/>
        <w:tabs>
          <w:tab w:val="left" w:pos="1560"/>
        </w:tabs>
        <w:spacing w:line="560" w:lineRule="exact"/>
        <w:ind w:firstLine="640"/>
        <w:rPr>
          <w:rFonts w:ascii="仿宋_GB2312" w:hAnsi="宋体"/>
          <w:sz w:val="32"/>
          <w:szCs w:val="32"/>
        </w:rPr>
      </w:pPr>
      <w:r>
        <w:rPr>
          <w:rFonts w:ascii="仿宋_GB2312" w:hAnsi="宋体" w:hint="eastAsia"/>
          <w:sz w:val="32"/>
          <w:szCs w:val="32"/>
        </w:rPr>
        <w:t>（四）依法公开向股东征集股东权利；</w:t>
      </w:r>
    </w:p>
    <w:p w14:paraId="65DDE5AA" w14:textId="77777777" w:rsidR="000C29B8" w:rsidRDefault="00000000">
      <w:pPr>
        <w:pStyle w:val="afa"/>
        <w:tabs>
          <w:tab w:val="left" w:pos="1560"/>
        </w:tabs>
        <w:spacing w:line="560" w:lineRule="exact"/>
        <w:ind w:firstLine="640"/>
        <w:rPr>
          <w:rFonts w:ascii="仿宋_GB2312" w:hAnsi="宋体"/>
          <w:sz w:val="32"/>
          <w:szCs w:val="32"/>
        </w:rPr>
      </w:pPr>
      <w:r>
        <w:rPr>
          <w:rFonts w:ascii="仿宋_GB2312" w:hAnsi="宋体" w:hint="eastAsia"/>
          <w:sz w:val="32"/>
          <w:szCs w:val="32"/>
        </w:rPr>
        <w:lastRenderedPageBreak/>
        <w:t>（五）对可能损害上市公司或者中小股东权益的事项发表独立意见；</w:t>
      </w:r>
    </w:p>
    <w:p w14:paraId="0CC09D2D" w14:textId="77777777" w:rsidR="000C29B8" w:rsidRDefault="00000000">
      <w:pPr>
        <w:pStyle w:val="afa"/>
        <w:tabs>
          <w:tab w:val="left" w:pos="1560"/>
        </w:tabs>
        <w:spacing w:line="560" w:lineRule="exact"/>
        <w:ind w:firstLine="640"/>
        <w:rPr>
          <w:rFonts w:ascii="仿宋_GB2312" w:hAnsi="宋体"/>
          <w:sz w:val="32"/>
          <w:szCs w:val="32"/>
        </w:rPr>
      </w:pPr>
      <w:r>
        <w:rPr>
          <w:rFonts w:ascii="仿宋_GB2312" w:hAnsi="宋体" w:hint="eastAsia"/>
          <w:sz w:val="32"/>
          <w:szCs w:val="32"/>
        </w:rPr>
        <w:t>（六）法律法规、本所相关规定及公司章程规定的其他职权。</w:t>
      </w:r>
    </w:p>
    <w:p w14:paraId="545A88D6" w14:textId="77777777" w:rsidR="000C29B8" w:rsidRDefault="00000000">
      <w:pPr>
        <w:pStyle w:val="afa"/>
        <w:tabs>
          <w:tab w:val="left" w:pos="1560"/>
        </w:tabs>
        <w:spacing w:line="560" w:lineRule="exact"/>
        <w:ind w:firstLine="640"/>
        <w:rPr>
          <w:rFonts w:ascii="仿宋_GB2312" w:hAnsi="宋体"/>
          <w:sz w:val="32"/>
          <w:szCs w:val="32"/>
        </w:rPr>
      </w:pPr>
      <w:r>
        <w:rPr>
          <w:rFonts w:ascii="仿宋_GB2312" w:hAnsi="宋体" w:hint="eastAsia"/>
          <w:sz w:val="32"/>
          <w:szCs w:val="32"/>
        </w:rPr>
        <w:t>独立董事行使前款第一项至第三项职权的，应当经全体独立董事过半数同意。</w:t>
      </w:r>
    </w:p>
    <w:p w14:paraId="30404A24" w14:textId="77777777" w:rsidR="000C29B8" w:rsidRDefault="00000000">
      <w:pPr>
        <w:pStyle w:val="afa"/>
        <w:tabs>
          <w:tab w:val="left" w:pos="1560"/>
        </w:tabs>
        <w:spacing w:line="560" w:lineRule="exact"/>
        <w:ind w:firstLine="640"/>
        <w:rPr>
          <w:rFonts w:ascii="仿宋_GB2312" w:hAnsi="宋体"/>
          <w:sz w:val="32"/>
          <w:szCs w:val="32"/>
        </w:rPr>
      </w:pPr>
      <w:r>
        <w:rPr>
          <w:rFonts w:ascii="仿宋_GB2312" w:hAnsi="宋体" w:hint="eastAsia"/>
          <w:sz w:val="32"/>
          <w:szCs w:val="32"/>
        </w:rPr>
        <w:t>独立董事行使本条第一款所列职权的，上市公司应当及时披露。上述职权不能正常行使的，上市公司应当披露具体情况和理由。</w:t>
      </w:r>
    </w:p>
    <w:p w14:paraId="2D691D19" w14:textId="77777777" w:rsidR="000C29B8" w:rsidRDefault="00000000">
      <w:pPr>
        <w:pStyle w:val="afa"/>
        <w:numPr>
          <w:ilvl w:val="0"/>
          <w:numId w:val="16"/>
        </w:numPr>
        <w:tabs>
          <w:tab w:val="left" w:pos="1560"/>
        </w:tabs>
        <w:spacing w:line="560" w:lineRule="exact"/>
        <w:ind w:left="0" w:firstLineChars="0" w:firstLine="640"/>
        <w:rPr>
          <w:rFonts w:ascii="仿宋_GB2312" w:hAnsi="宋体"/>
          <w:sz w:val="32"/>
          <w:szCs w:val="32"/>
        </w:rPr>
      </w:pPr>
      <w:r>
        <w:rPr>
          <w:rFonts w:ascii="仿宋_GB2312" w:hAnsi="宋体" w:hint="eastAsia"/>
          <w:sz w:val="32"/>
          <w:szCs w:val="32"/>
        </w:rPr>
        <w:t>下列事项应当经上市公司全体独立董事过半数同意后，提交董事会审议：</w:t>
      </w:r>
    </w:p>
    <w:p w14:paraId="348E0FA4" w14:textId="77777777" w:rsidR="000C29B8" w:rsidRDefault="00000000">
      <w:pPr>
        <w:pStyle w:val="afa"/>
        <w:tabs>
          <w:tab w:val="left" w:pos="1560"/>
        </w:tabs>
        <w:spacing w:line="560" w:lineRule="exact"/>
        <w:ind w:firstLineChars="0" w:firstLine="640"/>
        <w:rPr>
          <w:rFonts w:ascii="仿宋_GB2312" w:hAnsi="宋体"/>
          <w:sz w:val="32"/>
          <w:szCs w:val="32"/>
        </w:rPr>
      </w:pPr>
      <w:r>
        <w:rPr>
          <w:rFonts w:ascii="仿宋_GB2312" w:hAnsi="宋体" w:hint="eastAsia"/>
          <w:sz w:val="32"/>
          <w:szCs w:val="32"/>
        </w:rPr>
        <w:t>（一）应当披露的关联交易；</w:t>
      </w:r>
    </w:p>
    <w:p w14:paraId="48FACBF6" w14:textId="77777777" w:rsidR="000C29B8" w:rsidRDefault="00000000">
      <w:pPr>
        <w:pStyle w:val="afa"/>
        <w:tabs>
          <w:tab w:val="left" w:pos="1560"/>
        </w:tabs>
        <w:spacing w:line="560" w:lineRule="exact"/>
        <w:ind w:firstLine="640"/>
        <w:rPr>
          <w:rFonts w:ascii="仿宋_GB2312" w:hAnsi="宋体"/>
          <w:sz w:val="32"/>
          <w:szCs w:val="32"/>
        </w:rPr>
      </w:pPr>
      <w:r>
        <w:rPr>
          <w:rFonts w:ascii="仿宋_GB2312" w:hAnsi="宋体" w:hint="eastAsia"/>
          <w:sz w:val="32"/>
          <w:szCs w:val="32"/>
        </w:rPr>
        <w:t>（二）上市公司及相关方变更或者豁免承诺的方案；</w:t>
      </w:r>
    </w:p>
    <w:p w14:paraId="586F7DD9" w14:textId="77777777" w:rsidR="000C29B8" w:rsidRDefault="00000000">
      <w:pPr>
        <w:pStyle w:val="afa"/>
        <w:tabs>
          <w:tab w:val="left" w:pos="1560"/>
        </w:tabs>
        <w:spacing w:line="560" w:lineRule="exact"/>
        <w:ind w:firstLine="640"/>
        <w:rPr>
          <w:rFonts w:ascii="仿宋_GB2312" w:hAnsi="宋体"/>
          <w:sz w:val="32"/>
          <w:szCs w:val="32"/>
        </w:rPr>
      </w:pPr>
      <w:r>
        <w:rPr>
          <w:rFonts w:ascii="仿宋_GB2312" w:hAnsi="宋体" w:hint="eastAsia"/>
          <w:sz w:val="32"/>
          <w:szCs w:val="32"/>
        </w:rPr>
        <w:t>（三）被收购上市公司董事会针对收购所</w:t>
      </w:r>
      <w:proofErr w:type="gramStart"/>
      <w:r>
        <w:rPr>
          <w:rFonts w:ascii="仿宋_GB2312" w:hAnsi="宋体" w:hint="eastAsia"/>
          <w:sz w:val="32"/>
          <w:szCs w:val="32"/>
        </w:rPr>
        <w:t>作出</w:t>
      </w:r>
      <w:proofErr w:type="gramEnd"/>
      <w:r>
        <w:rPr>
          <w:rFonts w:ascii="仿宋_GB2312" w:hAnsi="宋体" w:hint="eastAsia"/>
          <w:sz w:val="32"/>
          <w:szCs w:val="32"/>
        </w:rPr>
        <w:t>的决策及采取的措施；</w:t>
      </w:r>
    </w:p>
    <w:p w14:paraId="483BD3BC" w14:textId="77777777" w:rsidR="000C29B8" w:rsidRDefault="00000000">
      <w:pPr>
        <w:pStyle w:val="afa"/>
        <w:tabs>
          <w:tab w:val="left" w:pos="1560"/>
        </w:tabs>
        <w:spacing w:line="560" w:lineRule="exact"/>
        <w:ind w:firstLine="640"/>
        <w:rPr>
          <w:rFonts w:ascii="仿宋_GB2312" w:hAnsi="宋体"/>
          <w:sz w:val="32"/>
          <w:szCs w:val="32"/>
        </w:rPr>
      </w:pPr>
      <w:r>
        <w:rPr>
          <w:rFonts w:ascii="仿宋_GB2312" w:hAnsi="宋体" w:hint="eastAsia"/>
          <w:sz w:val="32"/>
          <w:szCs w:val="32"/>
        </w:rPr>
        <w:t>（四）法律法规、本所相关规定及公司章程规定的其他事项。</w:t>
      </w:r>
    </w:p>
    <w:p w14:paraId="3A36AE56" w14:textId="77777777" w:rsidR="000C29B8" w:rsidRDefault="00000000">
      <w:pPr>
        <w:pStyle w:val="afa"/>
        <w:numPr>
          <w:ilvl w:val="0"/>
          <w:numId w:val="16"/>
        </w:numPr>
        <w:tabs>
          <w:tab w:val="left" w:pos="1560"/>
        </w:tabs>
        <w:spacing w:line="560" w:lineRule="exact"/>
        <w:ind w:left="0" w:firstLine="640"/>
        <w:rPr>
          <w:rFonts w:ascii="仿宋_GB2312" w:hAnsi="宋体"/>
          <w:sz w:val="32"/>
          <w:szCs w:val="32"/>
        </w:rPr>
      </w:pPr>
      <w:r>
        <w:rPr>
          <w:rFonts w:ascii="仿宋_GB2312" w:hAnsi="宋体" w:hint="eastAsia"/>
          <w:sz w:val="32"/>
          <w:szCs w:val="32"/>
        </w:rPr>
        <w:t>上市公司应当建立独立董事专门会议制度，定期或者不定期召开全部由独立董事参加的会议，对本</w:t>
      </w:r>
      <w:proofErr w:type="gramStart"/>
      <w:r>
        <w:rPr>
          <w:rFonts w:ascii="仿宋_GB2312" w:hAnsi="宋体" w:hint="eastAsia"/>
          <w:sz w:val="32"/>
          <w:szCs w:val="32"/>
        </w:rPr>
        <w:t>规则第4</w:t>
      </w:r>
      <w:proofErr w:type="gramEnd"/>
      <w:r>
        <w:rPr>
          <w:rFonts w:ascii="仿宋_GB2312" w:hAnsi="宋体" w:hint="eastAsia"/>
          <w:sz w:val="32"/>
          <w:szCs w:val="32"/>
        </w:rPr>
        <w:t>.2.8条第一款第一项至第三项和第4.2.9条规定的相关事项进行审议。</w:t>
      </w:r>
    </w:p>
    <w:p w14:paraId="5ECAE751" w14:textId="77777777" w:rsidR="000C29B8" w:rsidRDefault="00000000">
      <w:pPr>
        <w:pStyle w:val="afa"/>
        <w:tabs>
          <w:tab w:val="left" w:pos="1560"/>
        </w:tabs>
        <w:spacing w:line="560" w:lineRule="exact"/>
        <w:ind w:firstLine="640"/>
        <w:rPr>
          <w:rFonts w:ascii="仿宋_GB2312" w:hAnsi="宋体"/>
          <w:sz w:val="32"/>
          <w:szCs w:val="32"/>
        </w:rPr>
      </w:pPr>
      <w:r>
        <w:rPr>
          <w:rFonts w:ascii="仿宋_GB2312" w:hAnsi="宋体" w:hint="eastAsia"/>
          <w:sz w:val="32"/>
          <w:szCs w:val="32"/>
        </w:rPr>
        <w:t>独立董事专门会议可以根据需要研究讨论上市公司其他事项。</w:t>
      </w:r>
    </w:p>
    <w:p w14:paraId="2918F29B" w14:textId="77777777" w:rsidR="000C29B8" w:rsidRDefault="00000000">
      <w:pPr>
        <w:pStyle w:val="afa"/>
        <w:tabs>
          <w:tab w:val="left" w:pos="1560"/>
        </w:tabs>
        <w:spacing w:line="560" w:lineRule="exact"/>
        <w:ind w:firstLine="640"/>
        <w:rPr>
          <w:rFonts w:ascii="仿宋_GB2312" w:hAnsi="宋体"/>
          <w:sz w:val="32"/>
          <w:szCs w:val="32"/>
        </w:rPr>
      </w:pPr>
      <w:r>
        <w:rPr>
          <w:rFonts w:ascii="仿宋_GB2312" w:hAnsi="宋体" w:hint="eastAsia"/>
          <w:sz w:val="32"/>
          <w:szCs w:val="32"/>
        </w:rPr>
        <w:t>独立董事专门会议应当由过半数独立董事共同推举一</w:t>
      </w:r>
      <w:r>
        <w:rPr>
          <w:rFonts w:ascii="仿宋_GB2312" w:hAnsi="宋体" w:hint="eastAsia"/>
          <w:sz w:val="32"/>
          <w:szCs w:val="32"/>
        </w:rPr>
        <w:lastRenderedPageBreak/>
        <w:t>名独立董事召集和主持独立；召集人不履职或者不能履职时，两名及以上独立董事可以自行召集并推举一名代表主持。</w:t>
      </w:r>
    </w:p>
    <w:p w14:paraId="3D1FF887" w14:textId="77777777" w:rsidR="000C29B8" w:rsidRDefault="00000000">
      <w:pPr>
        <w:pStyle w:val="afa"/>
        <w:tabs>
          <w:tab w:val="left" w:pos="1560"/>
        </w:tabs>
        <w:spacing w:line="560" w:lineRule="exact"/>
        <w:ind w:firstLine="640"/>
        <w:rPr>
          <w:rFonts w:ascii="仿宋_GB2312" w:hAnsi="宋体"/>
          <w:sz w:val="32"/>
          <w:szCs w:val="32"/>
        </w:rPr>
      </w:pPr>
      <w:r>
        <w:rPr>
          <w:rFonts w:ascii="仿宋_GB2312" w:hAnsi="宋体" w:hint="eastAsia"/>
          <w:sz w:val="32"/>
          <w:szCs w:val="32"/>
        </w:rPr>
        <w:t>上市公司应当为独立董事专门会议召开提供便利和支持。</w:t>
      </w:r>
    </w:p>
    <w:p w14:paraId="0E8E332E" w14:textId="77777777" w:rsidR="000C29B8" w:rsidRDefault="00000000">
      <w:pPr>
        <w:pStyle w:val="afa"/>
        <w:numPr>
          <w:ilvl w:val="0"/>
          <w:numId w:val="16"/>
        </w:numPr>
        <w:tabs>
          <w:tab w:val="left" w:pos="1560"/>
        </w:tabs>
        <w:spacing w:line="560" w:lineRule="exact"/>
        <w:ind w:left="0" w:firstLine="640"/>
        <w:rPr>
          <w:rFonts w:ascii="仿宋_GB2312" w:hAnsi="宋体"/>
          <w:sz w:val="32"/>
          <w:szCs w:val="32"/>
        </w:rPr>
      </w:pPr>
      <w:r>
        <w:rPr>
          <w:rFonts w:ascii="仿宋_GB2312" w:hAnsi="宋体" w:hint="eastAsia"/>
          <w:sz w:val="32"/>
          <w:szCs w:val="32"/>
        </w:rPr>
        <w:t>上市公司董事、监事、高级管理人员和核心技术人员所持公司股份发生变动的，应当在2个交易日内向公司报告并由公司在本所网站公告。</w:t>
      </w:r>
    </w:p>
    <w:p w14:paraId="004E20EA" w14:textId="77777777" w:rsidR="000C29B8" w:rsidRDefault="00000000">
      <w:pPr>
        <w:pStyle w:val="afa"/>
        <w:numPr>
          <w:ilvl w:val="0"/>
          <w:numId w:val="16"/>
        </w:numPr>
        <w:tabs>
          <w:tab w:val="left" w:pos="0"/>
        </w:tabs>
        <w:spacing w:line="560" w:lineRule="exact"/>
        <w:ind w:left="0" w:firstLine="640"/>
        <w:rPr>
          <w:rFonts w:ascii="仿宋_GB2312" w:hAnsi="宋体"/>
          <w:sz w:val="32"/>
          <w:szCs w:val="32"/>
        </w:rPr>
      </w:pPr>
      <w:r>
        <w:rPr>
          <w:rFonts w:ascii="仿宋_GB2312" w:hAnsi="宋体" w:hint="eastAsia"/>
          <w:sz w:val="32"/>
          <w:szCs w:val="32"/>
        </w:rPr>
        <w:t>上市公司应当设立董事会秘书，负责公司的信息披露事务。</w:t>
      </w:r>
    </w:p>
    <w:p w14:paraId="50516322" w14:textId="77777777" w:rsidR="000C29B8" w:rsidRDefault="00000000">
      <w:pPr>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上市公司董事会秘书为高级管理人员，应当具备相应任职条件和资格，忠实、</w:t>
      </w:r>
      <w:proofErr w:type="gramStart"/>
      <w:r>
        <w:rPr>
          <w:rFonts w:ascii="仿宋_GB2312" w:eastAsia="仿宋_GB2312" w:hAnsi="宋体" w:hint="eastAsia"/>
          <w:sz w:val="32"/>
          <w:szCs w:val="32"/>
        </w:rPr>
        <w:t>勤勉履行</w:t>
      </w:r>
      <w:proofErr w:type="gramEnd"/>
      <w:r>
        <w:rPr>
          <w:rFonts w:ascii="仿宋_GB2312" w:eastAsia="仿宋_GB2312" w:hAnsi="宋体" w:hint="eastAsia"/>
          <w:sz w:val="32"/>
          <w:szCs w:val="32"/>
        </w:rPr>
        <w:t>职责。</w:t>
      </w:r>
    </w:p>
    <w:p w14:paraId="5D54FD0C" w14:textId="77777777" w:rsidR="000C29B8" w:rsidRDefault="00000000">
      <w:pPr>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董事会秘书空缺期间，上市公司应当及时指定一名董事或者高级管理人员代行董事会秘书职责。空缺超过3个月的，公司法定代表人应当代行董事会秘书职责。</w:t>
      </w:r>
    </w:p>
    <w:p w14:paraId="207C9A97" w14:textId="77777777" w:rsidR="000C29B8" w:rsidRDefault="00000000">
      <w:pPr>
        <w:pStyle w:val="afa"/>
        <w:numPr>
          <w:ilvl w:val="0"/>
          <w:numId w:val="16"/>
        </w:numPr>
        <w:tabs>
          <w:tab w:val="left" w:pos="1560"/>
        </w:tabs>
        <w:spacing w:line="560" w:lineRule="exact"/>
        <w:ind w:left="0" w:firstLine="640"/>
        <w:rPr>
          <w:rFonts w:ascii="仿宋_GB2312" w:hAnsi="宋体"/>
          <w:sz w:val="32"/>
          <w:szCs w:val="32"/>
        </w:rPr>
      </w:pPr>
      <w:r>
        <w:rPr>
          <w:rFonts w:ascii="仿宋_GB2312" w:hAnsi="宋体" w:hint="eastAsia"/>
          <w:sz w:val="32"/>
          <w:szCs w:val="32"/>
        </w:rPr>
        <w:t>上市公司应当为董事会秘书履行职责提供便利条件，董事、监事</w:t>
      </w:r>
      <w:r>
        <w:rPr>
          <w:rFonts w:ascii="仿宋_GB2312" w:hint="eastAsia"/>
          <w:sz w:val="32"/>
          <w:szCs w:val="32"/>
        </w:rPr>
        <w:t>、</w:t>
      </w:r>
      <w:r>
        <w:rPr>
          <w:rFonts w:ascii="仿宋_GB2312" w:hAnsi="宋体" w:hint="eastAsia"/>
          <w:sz w:val="32"/>
          <w:szCs w:val="32"/>
        </w:rPr>
        <w:t>其他高级管理人员和相关工作人员应当配合董事会秘书的工作。</w:t>
      </w:r>
    </w:p>
    <w:p w14:paraId="6743558A" w14:textId="77777777" w:rsidR="000C29B8" w:rsidRDefault="00000000">
      <w:pPr>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董事会秘书有权了解公司的经营和财务情况，参加有关会议，查阅相关文件，要求有关部门和人员提供资料和信息。</w:t>
      </w:r>
    </w:p>
    <w:p w14:paraId="1D35824D" w14:textId="77777777" w:rsidR="000C29B8" w:rsidRDefault="00000000">
      <w:pPr>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上市公司解聘董事会秘书应当有充分的理由，不得无故解聘。</w:t>
      </w:r>
    </w:p>
    <w:p w14:paraId="28D47E6B" w14:textId="77777777" w:rsidR="000C29B8" w:rsidRDefault="00000000">
      <w:pPr>
        <w:pStyle w:val="afa"/>
        <w:numPr>
          <w:ilvl w:val="0"/>
          <w:numId w:val="16"/>
        </w:numPr>
        <w:tabs>
          <w:tab w:val="left" w:pos="1560"/>
        </w:tabs>
        <w:spacing w:line="560" w:lineRule="exact"/>
        <w:ind w:left="0" w:firstLine="640"/>
        <w:rPr>
          <w:rFonts w:ascii="仿宋_GB2312" w:hAnsi="宋体"/>
          <w:sz w:val="32"/>
          <w:szCs w:val="32"/>
        </w:rPr>
      </w:pPr>
      <w:r>
        <w:rPr>
          <w:rFonts w:ascii="仿宋_GB2312" w:hAnsi="宋体" w:hint="eastAsia"/>
          <w:sz w:val="32"/>
          <w:szCs w:val="32"/>
        </w:rPr>
        <w:t>上市公司应当设立证券事务代表，协助董事会秘书履行职责。董事会秘书不能履行职责或董事会秘书授权时，证券事务代表应当代为履行职责。在此期间，并不当然免除</w:t>
      </w:r>
      <w:r>
        <w:rPr>
          <w:rFonts w:ascii="仿宋_GB2312" w:hAnsi="宋体" w:hint="eastAsia"/>
          <w:sz w:val="32"/>
          <w:szCs w:val="32"/>
        </w:rPr>
        <w:lastRenderedPageBreak/>
        <w:t>董事会秘书对公司信息披露所负有的责任。</w:t>
      </w:r>
    </w:p>
    <w:p w14:paraId="7B029C6B" w14:textId="77777777" w:rsidR="000C29B8" w:rsidRDefault="00000000">
      <w:pPr>
        <w:pStyle w:val="afa"/>
        <w:numPr>
          <w:ilvl w:val="0"/>
          <w:numId w:val="16"/>
        </w:numPr>
        <w:tabs>
          <w:tab w:val="left" w:pos="1560"/>
        </w:tabs>
        <w:spacing w:line="560" w:lineRule="exact"/>
        <w:ind w:left="0" w:firstLine="640"/>
        <w:rPr>
          <w:rFonts w:ascii="仿宋_GB2312" w:hAnsi="宋体"/>
          <w:sz w:val="32"/>
          <w:szCs w:val="32"/>
        </w:rPr>
      </w:pPr>
      <w:r>
        <w:rPr>
          <w:rFonts w:ascii="仿宋_GB2312" w:hAnsi="宋体"/>
          <w:sz w:val="32"/>
          <w:szCs w:val="32"/>
        </w:rPr>
        <w:t>上市公司董事会聘任董事会秘书和证券事务代表后，应当及时公告并向本所提交下述资料：</w:t>
      </w:r>
    </w:p>
    <w:p w14:paraId="2E37B500" w14:textId="77777777" w:rsidR="000C29B8" w:rsidRDefault="00000000">
      <w:pPr>
        <w:tabs>
          <w:tab w:val="left" w:pos="1560"/>
        </w:tabs>
        <w:spacing w:line="560" w:lineRule="exact"/>
        <w:ind w:firstLineChars="200" w:firstLine="640"/>
        <w:rPr>
          <w:rFonts w:ascii="仿宋_GB2312" w:eastAsia="仿宋_GB2312" w:hAnsi="宋体"/>
          <w:sz w:val="32"/>
          <w:szCs w:val="32"/>
        </w:rPr>
      </w:pPr>
      <w:r>
        <w:rPr>
          <w:rFonts w:ascii="仿宋_GB2312" w:eastAsia="仿宋_GB2312" w:hAnsi="宋体"/>
          <w:sz w:val="32"/>
          <w:szCs w:val="32"/>
        </w:rPr>
        <w:t>（一）董事会秘书、证券事务代表聘任书或者相关董事会决议；</w:t>
      </w:r>
    </w:p>
    <w:p w14:paraId="2A278BDB" w14:textId="77777777" w:rsidR="000C29B8" w:rsidRDefault="00000000">
      <w:pPr>
        <w:tabs>
          <w:tab w:val="left" w:pos="1560"/>
        </w:tabs>
        <w:spacing w:line="560" w:lineRule="exact"/>
        <w:ind w:firstLineChars="200" w:firstLine="640"/>
        <w:rPr>
          <w:rFonts w:ascii="仿宋_GB2312" w:eastAsia="仿宋_GB2312" w:hAnsi="宋体"/>
          <w:sz w:val="32"/>
          <w:szCs w:val="32"/>
        </w:rPr>
      </w:pPr>
      <w:r>
        <w:rPr>
          <w:rFonts w:ascii="仿宋_GB2312" w:eastAsia="仿宋_GB2312" w:hAnsi="宋体"/>
          <w:sz w:val="32"/>
          <w:szCs w:val="32"/>
        </w:rPr>
        <w:t>（二）董事会秘书、证券事务代表的通讯方式，包括办公电话、住宅电话、移动电话、传真、通信地址及专用电子邮箱地址等</w:t>
      </w:r>
      <w:r>
        <w:rPr>
          <w:rFonts w:ascii="仿宋_GB2312" w:eastAsia="仿宋_GB2312" w:hAnsi="宋体" w:hint="eastAsia"/>
          <w:sz w:val="32"/>
          <w:szCs w:val="32"/>
        </w:rPr>
        <w:t>。</w:t>
      </w:r>
    </w:p>
    <w:p w14:paraId="4A2D15A4" w14:textId="77777777" w:rsidR="000C29B8" w:rsidRDefault="00000000">
      <w:pPr>
        <w:tabs>
          <w:tab w:val="left" w:pos="1560"/>
        </w:tabs>
        <w:spacing w:line="560" w:lineRule="exact"/>
        <w:ind w:firstLineChars="200" w:firstLine="640"/>
        <w:rPr>
          <w:rFonts w:ascii="仿宋_GB2312" w:eastAsia="仿宋_GB2312" w:hAnsi="宋体"/>
          <w:sz w:val="32"/>
          <w:szCs w:val="32"/>
        </w:rPr>
      </w:pPr>
      <w:r>
        <w:rPr>
          <w:rFonts w:ascii="仿宋_GB2312" w:eastAsia="仿宋_GB2312" w:hAnsi="宋体"/>
          <w:sz w:val="32"/>
          <w:szCs w:val="32"/>
        </w:rPr>
        <w:t>本所接受董事会秘书、代行董事会秘书职责的人员或者证券事务代表以上市公司名义办理的信息披露与股权管理事务。</w:t>
      </w:r>
    </w:p>
    <w:p w14:paraId="3EA4208D" w14:textId="77777777" w:rsidR="000C29B8" w:rsidRDefault="00000000">
      <w:pPr>
        <w:pStyle w:val="23"/>
        <w:numPr>
          <w:ilvl w:val="1"/>
          <w:numId w:val="1"/>
        </w:numPr>
        <w:ind w:left="0" w:firstLine="643"/>
      </w:pPr>
      <w:bookmarkStart w:id="74" w:name="_Toc530581632"/>
      <w:bookmarkStart w:id="75" w:name="_Toc530585997"/>
      <w:bookmarkStart w:id="76" w:name="_Toc21697"/>
      <w:bookmarkEnd w:id="74"/>
      <w:bookmarkEnd w:id="75"/>
      <w:r>
        <w:rPr>
          <w:rFonts w:hint="eastAsia"/>
        </w:rPr>
        <w:t>规范运行</w:t>
      </w:r>
      <w:bookmarkEnd w:id="76"/>
    </w:p>
    <w:p w14:paraId="3981913F" w14:textId="77777777" w:rsidR="000C29B8" w:rsidRDefault="00000000">
      <w:pPr>
        <w:pStyle w:val="afa"/>
        <w:numPr>
          <w:ilvl w:val="0"/>
          <w:numId w:val="18"/>
        </w:numPr>
        <w:spacing w:line="560" w:lineRule="exact"/>
        <w:ind w:left="0" w:firstLine="640"/>
        <w:rPr>
          <w:rFonts w:ascii="仿宋_GB2312" w:hAnsi="Arial Unicode MS" w:cs="Arial Unicode MS"/>
          <w:sz w:val="32"/>
          <w:szCs w:val="32"/>
        </w:rPr>
      </w:pPr>
      <w:r>
        <w:rPr>
          <w:rFonts w:ascii="仿宋_GB2312" w:hint="eastAsia"/>
          <w:sz w:val="32"/>
          <w:szCs w:val="32"/>
        </w:rPr>
        <w:t>上市公司应当积极回报股东，根据自身条件和发展阶段，制定并执行现金分红、股份回购等股东回报政策。</w:t>
      </w:r>
    </w:p>
    <w:p w14:paraId="3AADF76D"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公司应当综合考虑未分配利润、当期业绩等因素确定分红频次，并在具备条件的情况下增加分红频次。实施中期分红的，在最近一期经审计未分配利润基准上，合理考虑当期利润情况，稳定股东预期。</w:t>
      </w:r>
    </w:p>
    <w:p w14:paraId="3EF9ECC3"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宋体" w:hint="eastAsia"/>
          <w:sz w:val="32"/>
          <w:szCs w:val="32"/>
        </w:rPr>
        <w:t>上市公司明显</w:t>
      </w:r>
      <w:r>
        <w:rPr>
          <w:rFonts w:ascii="仿宋_GB2312" w:eastAsia="仿宋_GB2312" w:hAnsi="宋体"/>
          <w:sz w:val="32"/>
          <w:szCs w:val="32"/>
        </w:rPr>
        <w:t>具备条件</w:t>
      </w:r>
      <w:r>
        <w:rPr>
          <w:rFonts w:ascii="仿宋_GB2312" w:eastAsia="仿宋_GB2312" w:hAnsi="宋体" w:hint="eastAsia"/>
          <w:sz w:val="32"/>
          <w:szCs w:val="32"/>
        </w:rPr>
        <w:t>但未</w:t>
      </w:r>
      <w:r>
        <w:rPr>
          <w:rFonts w:ascii="仿宋_GB2312" w:eastAsia="仿宋_GB2312" w:hAnsi="宋体"/>
          <w:sz w:val="32"/>
          <w:szCs w:val="32"/>
        </w:rPr>
        <w:t>进行现金分红的，</w:t>
      </w:r>
      <w:r>
        <w:rPr>
          <w:rFonts w:ascii="仿宋_GB2312" w:eastAsia="仿宋_GB2312" w:hAnsi="宋体" w:hint="eastAsia"/>
          <w:sz w:val="32"/>
          <w:szCs w:val="32"/>
        </w:rPr>
        <w:t>本所可以要求董事会、控股股东及实际控制人通过投资者说明会、公告等形式向投资者说明原因</w:t>
      </w:r>
      <w:r>
        <w:rPr>
          <w:rFonts w:ascii="仿宋_GB2312" w:eastAsia="仿宋_GB2312" w:hAnsi="宋体"/>
          <w:sz w:val="32"/>
          <w:szCs w:val="32"/>
        </w:rPr>
        <w:t>。</w:t>
      </w:r>
    </w:p>
    <w:p w14:paraId="14FCB85A" w14:textId="77777777" w:rsidR="000C29B8" w:rsidRDefault="00000000">
      <w:pPr>
        <w:pStyle w:val="afa"/>
        <w:numPr>
          <w:ilvl w:val="0"/>
          <w:numId w:val="18"/>
        </w:numPr>
        <w:spacing w:line="560" w:lineRule="exact"/>
        <w:ind w:left="0" w:firstLine="640"/>
        <w:rPr>
          <w:rFonts w:ascii="仿宋_GB2312" w:hAnsi="宋体"/>
          <w:sz w:val="32"/>
          <w:szCs w:val="32"/>
        </w:rPr>
      </w:pPr>
      <w:r>
        <w:rPr>
          <w:rFonts w:ascii="仿宋_GB2312" w:hAnsi="宋体" w:hint="eastAsia"/>
          <w:sz w:val="32"/>
          <w:szCs w:val="32"/>
        </w:rPr>
        <w:t>上市公司应当建立内部控制制度，保证内部控制完整有效，保证财务报告的可靠性，保障公司规范运行，保护公司资产，提升经营效率。</w:t>
      </w:r>
    </w:p>
    <w:p w14:paraId="3E39216C" w14:textId="77777777" w:rsidR="000C29B8" w:rsidRDefault="00000000">
      <w:pPr>
        <w:pStyle w:val="afa"/>
        <w:numPr>
          <w:ilvl w:val="0"/>
          <w:numId w:val="18"/>
        </w:numPr>
        <w:spacing w:line="560" w:lineRule="exact"/>
        <w:ind w:left="0" w:firstLine="640"/>
        <w:rPr>
          <w:rFonts w:ascii="仿宋_GB2312" w:hAnsi="宋体"/>
          <w:sz w:val="32"/>
          <w:szCs w:val="32"/>
        </w:rPr>
      </w:pPr>
      <w:r>
        <w:rPr>
          <w:rFonts w:ascii="仿宋_GB2312" w:hAnsi="宋体" w:hint="eastAsia"/>
          <w:sz w:val="32"/>
          <w:szCs w:val="32"/>
        </w:rPr>
        <w:lastRenderedPageBreak/>
        <w:t>上市公司应当建立合理有效的绩效评价体系以及激励约束机制。</w:t>
      </w:r>
    </w:p>
    <w:p w14:paraId="30C40613" w14:textId="77777777" w:rsidR="000C29B8" w:rsidRDefault="00000000">
      <w:pPr>
        <w:numPr>
          <w:ilvl w:val="12"/>
          <w:numId w:val="0"/>
        </w:numPr>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上市公司激励约束机制应当服务于公司战略目标和持续发展，与公司绩效、个人业绩相联系，保持高级管理人员和核心员工的稳定，不得损害公司及股东利益。</w:t>
      </w:r>
    </w:p>
    <w:p w14:paraId="6B29D892" w14:textId="77777777" w:rsidR="000C29B8" w:rsidRDefault="00000000">
      <w:pPr>
        <w:pStyle w:val="afa"/>
        <w:numPr>
          <w:ilvl w:val="0"/>
          <w:numId w:val="18"/>
        </w:numPr>
        <w:spacing w:line="560" w:lineRule="exact"/>
        <w:ind w:left="0" w:firstLine="640"/>
        <w:rPr>
          <w:rFonts w:ascii="仿宋_GB2312" w:hAnsi="宋体"/>
          <w:sz w:val="32"/>
          <w:szCs w:val="32"/>
        </w:rPr>
      </w:pPr>
      <w:r>
        <w:rPr>
          <w:rFonts w:ascii="仿宋_GB2312" w:hAnsi="宋体" w:hint="eastAsia"/>
          <w:sz w:val="32"/>
          <w:szCs w:val="32"/>
        </w:rPr>
        <w:t>上市公司应当建立健全股东大会、董事会、监事会和经理层制度，建立完善独立董事制度，形成权责分明、有效制衡的决策机制。</w:t>
      </w:r>
    </w:p>
    <w:p w14:paraId="3F6658CB" w14:textId="77777777" w:rsidR="000C29B8" w:rsidRDefault="00000000">
      <w:pPr>
        <w:pStyle w:val="afa"/>
        <w:numPr>
          <w:ilvl w:val="0"/>
          <w:numId w:val="18"/>
        </w:numPr>
        <w:spacing w:line="560" w:lineRule="exact"/>
        <w:ind w:left="0" w:firstLine="640"/>
        <w:rPr>
          <w:rFonts w:ascii="仿宋_GB2312" w:hAnsi="宋体"/>
          <w:sz w:val="32"/>
          <w:szCs w:val="32"/>
        </w:rPr>
      </w:pPr>
      <w:r>
        <w:rPr>
          <w:rFonts w:ascii="仿宋_GB2312" w:hAnsi="宋体" w:hint="eastAsia"/>
          <w:sz w:val="32"/>
          <w:szCs w:val="32"/>
        </w:rPr>
        <w:t>上市公司应当在公司章程中规定股东大会的召集、召开和表决等程序，制定股东大会议事规则，并列入公司章程或者作为章程附件。</w:t>
      </w:r>
    </w:p>
    <w:p w14:paraId="5469320C" w14:textId="77777777" w:rsidR="000C29B8" w:rsidRDefault="00000000">
      <w:pPr>
        <w:spacing w:line="560" w:lineRule="exact"/>
        <w:ind w:firstLine="640"/>
        <w:rPr>
          <w:rFonts w:ascii="仿宋_GB2312" w:eastAsia="仿宋_GB2312" w:hAnsi="宋体"/>
          <w:color w:val="000000"/>
          <w:sz w:val="32"/>
          <w:szCs w:val="32"/>
        </w:rPr>
      </w:pPr>
      <w:r>
        <w:rPr>
          <w:rFonts w:ascii="仿宋_GB2312" w:eastAsia="仿宋_GB2312" w:hAnsi="宋体" w:hint="eastAsia"/>
          <w:color w:val="000000"/>
          <w:sz w:val="32"/>
          <w:szCs w:val="32"/>
        </w:rPr>
        <w:t>股东大会应当设置会场，以现场会议形式召开。现场会议时间、地点的选择应当便于股东参加。发出股东大会通知后，无正当理由，股东大会现场会议召开地点不得变更。确需变更的，召集人应当在现场会议召开日前至少2个交易日公告并说明原因。上市公司应当提供网络投票方式为股东参加股东大会提供便利。股东通过上述方式参加股东大会的，视为出席。</w:t>
      </w:r>
    </w:p>
    <w:p w14:paraId="62B1C914" w14:textId="77777777" w:rsidR="000C29B8" w:rsidRDefault="00000000">
      <w:pPr>
        <w:numPr>
          <w:ilvl w:val="12"/>
          <w:numId w:val="0"/>
        </w:numPr>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上市公司应当根据相关规则采用累积投票、征集投票等方式，保障股东表决权。</w:t>
      </w:r>
    </w:p>
    <w:p w14:paraId="597BF27C" w14:textId="77777777" w:rsidR="000C29B8" w:rsidRDefault="00000000">
      <w:pPr>
        <w:pStyle w:val="afa"/>
        <w:numPr>
          <w:ilvl w:val="0"/>
          <w:numId w:val="18"/>
        </w:numPr>
        <w:spacing w:line="560" w:lineRule="exact"/>
        <w:ind w:left="0" w:firstLine="640"/>
        <w:rPr>
          <w:rFonts w:ascii="仿宋_GB2312" w:hAnsi="宋体"/>
          <w:sz w:val="32"/>
          <w:szCs w:val="32"/>
        </w:rPr>
      </w:pPr>
      <w:r>
        <w:rPr>
          <w:rFonts w:ascii="仿宋_GB2312" w:hAnsi="宋体" w:hint="eastAsia"/>
          <w:sz w:val="32"/>
          <w:szCs w:val="32"/>
        </w:rPr>
        <w:t>上市公司应当依据法律法规和公司章程召开股东大会，保证股东依法行使权利。规定期限内不能召开股东大会的，应当在期限届满前披露原因及后续方案。</w:t>
      </w:r>
    </w:p>
    <w:p w14:paraId="0312604F" w14:textId="77777777" w:rsidR="000C29B8" w:rsidRDefault="00000000">
      <w:pPr>
        <w:numPr>
          <w:ilvl w:val="12"/>
          <w:numId w:val="0"/>
        </w:numPr>
        <w:snapToGrid w:val="0"/>
        <w:spacing w:line="560" w:lineRule="exact"/>
        <w:ind w:firstLineChars="200" w:firstLine="640"/>
        <w:rPr>
          <w:rFonts w:ascii="仿宋_GB2312" w:eastAsia="仿宋_GB2312" w:hAnsi="宋体"/>
          <w:sz w:val="32"/>
          <w:szCs w:val="32"/>
        </w:rPr>
      </w:pPr>
      <w:r>
        <w:rPr>
          <w:rFonts w:ascii="仿宋_GB2312" w:eastAsia="仿宋_GB2312" w:hAnsi="宋体"/>
          <w:sz w:val="32"/>
          <w:szCs w:val="32"/>
        </w:rPr>
        <w:t>股东</w:t>
      </w:r>
      <w:r>
        <w:rPr>
          <w:rFonts w:ascii="仿宋_GB2312" w:eastAsia="仿宋_GB2312" w:hAnsi="宋体" w:hint="eastAsia"/>
          <w:sz w:val="32"/>
          <w:szCs w:val="32"/>
        </w:rPr>
        <w:t>书面提议</w:t>
      </w:r>
      <w:r>
        <w:rPr>
          <w:rFonts w:ascii="仿宋_GB2312" w:eastAsia="仿宋_GB2312" w:hAnsi="宋体"/>
          <w:sz w:val="32"/>
          <w:szCs w:val="32"/>
        </w:rPr>
        <w:t>召开股东大会</w:t>
      </w:r>
      <w:r>
        <w:rPr>
          <w:rFonts w:ascii="仿宋_GB2312" w:eastAsia="仿宋_GB2312" w:hAnsi="宋体" w:hint="eastAsia"/>
          <w:sz w:val="32"/>
          <w:szCs w:val="32"/>
        </w:rPr>
        <w:t>的</w:t>
      </w:r>
      <w:r>
        <w:rPr>
          <w:rFonts w:ascii="仿宋_GB2312" w:eastAsia="仿宋_GB2312" w:hAnsi="宋体"/>
          <w:sz w:val="32"/>
          <w:szCs w:val="32"/>
        </w:rPr>
        <w:t>，公司董事会应当在规定</w:t>
      </w:r>
      <w:r>
        <w:rPr>
          <w:rFonts w:ascii="仿宋_GB2312" w:eastAsia="仿宋_GB2312" w:hAnsi="宋体"/>
          <w:sz w:val="32"/>
          <w:szCs w:val="32"/>
        </w:rPr>
        <w:lastRenderedPageBreak/>
        <w:t>期限内</w:t>
      </w:r>
      <w:r>
        <w:rPr>
          <w:rFonts w:ascii="仿宋_GB2312" w:eastAsia="仿宋_GB2312" w:hAnsi="宋体" w:hint="eastAsia"/>
          <w:sz w:val="32"/>
          <w:szCs w:val="32"/>
        </w:rPr>
        <w:t>书面反馈</w:t>
      </w:r>
      <w:r>
        <w:rPr>
          <w:rFonts w:ascii="仿宋_GB2312" w:eastAsia="仿宋_GB2312" w:hAnsi="宋体"/>
          <w:sz w:val="32"/>
          <w:szCs w:val="32"/>
        </w:rPr>
        <w:t>是否同意召开股东大会，不得无故拖延。股东依法自行召集股东大会</w:t>
      </w:r>
      <w:r>
        <w:rPr>
          <w:rFonts w:ascii="仿宋_GB2312" w:eastAsia="仿宋_GB2312" w:hAnsi="宋体" w:hint="eastAsia"/>
          <w:sz w:val="32"/>
          <w:szCs w:val="32"/>
        </w:rPr>
        <w:t>的</w:t>
      </w:r>
      <w:r>
        <w:rPr>
          <w:rFonts w:ascii="仿宋_GB2312" w:eastAsia="仿宋_GB2312" w:hAnsi="宋体"/>
          <w:sz w:val="32"/>
          <w:szCs w:val="32"/>
        </w:rPr>
        <w:t>，公司董事会和董事会秘书应当予以配合，并及时履行信息披露义务。</w:t>
      </w:r>
    </w:p>
    <w:p w14:paraId="73056155" w14:textId="77777777" w:rsidR="000C29B8" w:rsidRDefault="00000000">
      <w:pPr>
        <w:numPr>
          <w:ilvl w:val="12"/>
          <w:numId w:val="0"/>
        </w:numPr>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上市公司应当依据法律法规、公司章程，发出股东大会通知，及时披露股东决策所需的其他资料。</w:t>
      </w:r>
    </w:p>
    <w:p w14:paraId="3073E149" w14:textId="77777777" w:rsidR="000C29B8" w:rsidRDefault="00000000">
      <w:pPr>
        <w:pStyle w:val="afa"/>
        <w:numPr>
          <w:ilvl w:val="0"/>
          <w:numId w:val="18"/>
        </w:numPr>
        <w:spacing w:line="560" w:lineRule="exact"/>
        <w:ind w:left="0" w:firstLine="640"/>
        <w:rPr>
          <w:rFonts w:ascii="仿宋_GB2312" w:hAnsi="宋体"/>
          <w:sz w:val="32"/>
          <w:szCs w:val="32"/>
        </w:rPr>
      </w:pPr>
      <w:r>
        <w:rPr>
          <w:rFonts w:ascii="仿宋_GB2312" w:hAnsi="宋体" w:hint="eastAsia"/>
          <w:sz w:val="32"/>
          <w:szCs w:val="32"/>
        </w:rPr>
        <w:t>上市公司召开股东大会，应当聘请律师事务所对股东大会的召集、召开程序、出席会议人员的资格、召集人资格、表决程序及表决结果等事项出具法律意见书，并与股东大会决议一并披露。</w:t>
      </w:r>
    </w:p>
    <w:p w14:paraId="68966B2F" w14:textId="77777777" w:rsidR="000C29B8" w:rsidRDefault="00000000">
      <w:pPr>
        <w:pStyle w:val="afa"/>
        <w:numPr>
          <w:ilvl w:val="0"/>
          <w:numId w:val="18"/>
        </w:numPr>
        <w:spacing w:line="560" w:lineRule="exact"/>
        <w:ind w:left="0" w:firstLine="640"/>
        <w:rPr>
          <w:rFonts w:ascii="仿宋_GB2312" w:hAnsi="宋体"/>
          <w:sz w:val="32"/>
          <w:szCs w:val="32"/>
        </w:rPr>
      </w:pPr>
      <w:r>
        <w:rPr>
          <w:rFonts w:ascii="仿宋_GB2312" w:hAnsi="宋体" w:hint="eastAsia"/>
          <w:sz w:val="32"/>
          <w:szCs w:val="32"/>
        </w:rPr>
        <w:t>上市公司应当在股东大会结束后，按照本所规定的格式和内容要求，及时披露股东大会决议公告。</w:t>
      </w:r>
    </w:p>
    <w:p w14:paraId="6D9AD6B8" w14:textId="77777777" w:rsidR="000C29B8" w:rsidRDefault="00000000">
      <w:pPr>
        <w:pStyle w:val="afa"/>
        <w:numPr>
          <w:ilvl w:val="0"/>
          <w:numId w:val="18"/>
        </w:numPr>
        <w:spacing w:line="560" w:lineRule="exact"/>
        <w:ind w:left="0" w:firstLine="640"/>
        <w:rPr>
          <w:rFonts w:ascii="仿宋_GB2312" w:hAnsi="宋体"/>
          <w:sz w:val="32"/>
          <w:szCs w:val="32"/>
        </w:rPr>
      </w:pPr>
      <w:r>
        <w:rPr>
          <w:rFonts w:ascii="仿宋_GB2312" w:hAnsi="宋体" w:hint="eastAsia"/>
          <w:sz w:val="32"/>
          <w:szCs w:val="32"/>
        </w:rPr>
        <w:t>董事会应当确保上市公司依法合</w:t>
      </w:r>
      <w:proofErr w:type="gramStart"/>
      <w:r>
        <w:rPr>
          <w:rFonts w:ascii="仿宋_GB2312" w:hAnsi="宋体" w:hint="eastAsia"/>
          <w:sz w:val="32"/>
          <w:szCs w:val="32"/>
        </w:rPr>
        <w:t>规</w:t>
      </w:r>
      <w:proofErr w:type="gramEnd"/>
      <w:r>
        <w:rPr>
          <w:rFonts w:ascii="仿宋_GB2312" w:hAnsi="宋体" w:hint="eastAsia"/>
          <w:sz w:val="32"/>
          <w:szCs w:val="32"/>
        </w:rPr>
        <w:t>运作，公平对待所有股东，并维护其他利益相关者的合法权益。</w:t>
      </w:r>
    </w:p>
    <w:p w14:paraId="682C3937" w14:textId="77777777" w:rsidR="000C29B8" w:rsidRDefault="00000000">
      <w:pPr>
        <w:numPr>
          <w:ilvl w:val="12"/>
          <w:numId w:val="0"/>
        </w:numPr>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董事会的人数及人员构成应当符合法律法规的要求，董事会成员应当具备履行职责所必需的知识、技能和素质。</w:t>
      </w:r>
    </w:p>
    <w:p w14:paraId="039BF43C" w14:textId="77777777" w:rsidR="000C29B8" w:rsidRDefault="00000000">
      <w:pPr>
        <w:pStyle w:val="afa"/>
        <w:numPr>
          <w:ilvl w:val="0"/>
          <w:numId w:val="18"/>
        </w:numPr>
        <w:spacing w:line="560" w:lineRule="exact"/>
        <w:ind w:left="0" w:firstLine="640"/>
        <w:rPr>
          <w:rFonts w:ascii="仿宋_GB2312" w:hAnsi="宋体"/>
          <w:sz w:val="32"/>
          <w:szCs w:val="32"/>
        </w:rPr>
      </w:pPr>
      <w:r>
        <w:rPr>
          <w:rFonts w:ascii="仿宋_GB2312" w:hAnsi="宋体" w:hint="eastAsia"/>
          <w:sz w:val="32"/>
          <w:szCs w:val="32"/>
        </w:rPr>
        <w:t>上市公司应当制定董事会议事规则，并列入公司章程或者作为章程附件，报股东大会批准，确保董事会有效履行职责。</w:t>
      </w:r>
    </w:p>
    <w:p w14:paraId="10F561F0" w14:textId="77777777" w:rsidR="000C29B8" w:rsidRDefault="00000000">
      <w:pPr>
        <w:pStyle w:val="a9"/>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董事会决议涉及应当披露事项的，上市公司应当在相关事项公告中说明董事会审议情况；董事反对或弃权的，应当披露反对或弃权理由。</w:t>
      </w:r>
    </w:p>
    <w:p w14:paraId="30BAFA3F" w14:textId="77777777" w:rsidR="000C29B8" w:rsidRDefault="00000000">
      <w:pPr>
        <w:pStyle w:val="afa"/>
        <w:numPr>
          <w:ilvl w:val="0"/>
          <w:numId w:val="18"/>
        </w:numPr>
        <w:spacing w:line="560" w:lineRule="exact"/>
        <w:ind w:left="0" w:firstLine="640"/>
        <w:rPr>
          <w:rFonts w:ascii="仿宋_GB2312" w:hAnsi="宋体"/>
          <w:sz w:val="32"/>
          <w:szCs w:val="32"/>
        </w:rPr>
      </w:pPr>
      <w:r>
        <w:rPr>
          <w:rFonts w:ascii="仿宋_GB2312" w:hAnsi="宋体" w:hint="eastAsia"/>
          <w:sz w:val="32"/>
          <w:szCs w:val="32"/>
        </w:rPr>
        <w:t xml:space="preserve"> 上市公司应当在董事会中设置审计委员会。公司可以在董事会中设置战略、提名、薪酬与考核等专门委员会，按照公司章程和董事会授权履行职责。</w:t>
      </w:r>
    </w:p>
    <w:p w14:paraId="101F165C" w14:textId="77777777" w:rsidR="000C29B8" w:rsidRDefault="00000000">
      <w:pPr>
        <w:snapToGrid w:val="0"/>
        <w:spacing w:line="560" w:lineRule="exact"/>
        <w:ind w:firstLine="640"/>
        <w:rPr>
          <w:rFonts w:ascii="仿宋_GB2312" w:eastAsia="仿宋_GB2312" w:hAnsi="宋体"/>
          <w:sz w:val="32"/>
          <w:szCs w:val="32"/>
        </w:rPr>
      </w:pPr>
      <w:r>
        <w:rPr>
          <w:rFonts w:ascii="仿宋_GB2312" w:eastAsia="仿宋_GB2312" w:hAnsi="宋体" w:hint="eastAsia"/>
          <w:sz w:val="32"/>
          <w:szCs w:val="32"/>
        </w:rPr>
        <w:lastRenderedPageBreak/>
        <w:t>专门委员会成员全部由董事组成，其中审计委员会、提名委员会、薪酬与考核委员会中独立董事应当过半数并担任召集人；审计委员会成员应当为不在上市公司担任高级管理人员的董事，召集人应当为会计专业人士。</w:t>
      </w:r>
    </w:p>
    <w:p w14:paraId="13A9883D" w14:textId="77777777" w:rsidR="000C29B8" w:rsidRDefault="00000000">
      <w:pPr>
        <w:snapToGrid w:val="0"/>
        <w:spacing w:line="560" w:lineRule="exact"/>
        <w:ind w:firstLine="640"/>
        <w:rPr>
          <w:rFonts w:ascii="仿宋_GB2312" w:eastAsia="仿宋_GB2312" w:hAnsi="宋体"/>
          <w:sz w:val="32"/>
          <w:szCs w:val="32"/>
        </w:rPr>
      </w:pPr>
      <w:r>
        <w:rPr>
          <w:rFonts w:ascii="仿宋_GB2312" w:eastAsia="仿宋_GB2312" w:hAnsi="宋体" w:hint="eastAsia"/>
          <w:sz w:val="32"/>
          <w:szCs w:val="32"/>
        </w:rPr>
        <w:t>审计委员会负责审核公司财务信息及其披露、监督及评估内外部审计工作和内部控制，下列事项应当经审计委员会全体成员过半数同意后，提交董事会审议：</w:t>
      </w:r>
    </w:p>
    <w:p w14:paraId="69DC4434" w14:textId="77777777" w:rsidR="000C29B8" w:rsidRDefault="00000000">
      <w:pPr>
        <w:snapToGrid w:val="0"/>
        <w:spacing w:line="560" w:lineRule="exact"/>
        <w:ind w:firstLine="640"/>
        <w:rPr>
          <w:rFonts w:ascii="仿宋_GB2312" w:eastAsia="仿宋_GB2312" w:hAnsi="宋体"/>
          <w:sz w:val="32"/>
          <w:szCs w:val="32"/>
        </w:rPr>
      </w:pPr>
      <w:r>
        <w:rPr>
          <w:rFonts w:ascii="仿宋_GB2312" w:eastAsia="仿宋_GB2312" w:hAnsi="宋体" w:hint="eastAsia"/>
          <w:sz w:val="32"/>
          <w:szCs w:val="32"/>
        </w:rPr>
        <w:t>（一）披露财务会计报告及定期报告中的财务信息、内部控制评价报告；</w:t>
      </w:r>
    </w:p>
    <w:p w14:paraId="423179FF" w14:textId="77777777" w:rsidR="000C29B8" w:rsidRDefault="00000000">
      <w:pPr>
        <w:snapToGrid w:val="0"/>
        <w:spacing w:line="560" w:lineRule="exact"/>
        <w:ind w:firstLine="640"/>
        <w:rPr>
          <w:rFonts w:ascii="仿宋_GB2312" w:eastAsia="仿宋_GB2312" w:hAnsi="宋体"/>
          <w:sz w:val="32"/>
          <w:szCs w:val="32"/>
        </w:rPr>
      </w:pPr>
      <w:r>
        <w:rPr>
          <w:rFonts w:ascii="仿宋_GB2312" w:eastAsia="仿宋_GB2312" w:hAnsi="宋体" w:hint="eastAsia"/>
          <w:sz w:val="32"/>
          <w:szCs w:val="32"/>
        </w:rPr>
        <w:t>（二）聘用、解聘承办上市公司审计业务的会计师事务所；</w:t>
      </w:r>
    </w:p>
    <w:p w14:paraId="7F22162E" w14:textId="77777777" w:rsidR="000C29B8" w:rsidRDefault="00000000">
      <w:pPr>
        <w:snapToGrid w:val="0"/>
        <w:spacing w:line="560" w:lineRule="exact"/>
        <w:ind w:firstLine="640"/>
        <w:rPr>
          <w:rFonts w:ascii="仿宋_GB2312" w:eastAsia="仿宋_GB2312" w:hAnsi="宋体"/>
          <w:sz w:val="32"/>
          <w:szCs w:val="32"/>
        </w:rPr>
      </w:pPr>
      <w:r>
        <w:rPr>
          <w:rFonts w:ascii="仿宋_GB2312" w:eastAsia="仿宋_GB2312" w:hAnsi="宋体" w:hint="eastAsia"/>
          <w:sz w:val="32"/>
          <w:szCs w:val="32"/>
        </w:rPr>
        <w:t>（三）聘任或者解聘上市公司财务负责人；</w:t>
      </w:r>
    </w:p>
    <w:p w14:paraId="59B9EE27" w14:textId="77777777" w:rsidR="000C29B8" w:rsidRDefault="00000000">
      <w:pPr>
        <w:snapToGrid w:val="0"/>
        <w:spacing w:line="560" w:lineRule="exact"/>
        <w:ind w:firstLine="640"/>
        <w:rPr>
          <w:rFonts w:ascii="仿宋_GB2312" w:eastAsia="仿宋_GB2312" w:hAnsi="宋体"/>
          <w:sz w:val="32"/>
          <w:szCs w:val="32"/>
        </w:rPr>
      </w:pPr>
      <w:r>
        <w:rPr>
          <w:rFonts w:ascii="仿宋_GB2312" w:eastAsia="仿宋_GB2312" w:hAnsi="宋体" w:hint="eastAsia"/>
          <w:sz w:val="32"/>
          <w:szCs w:val="32"/>
        </w:rPr>
        <w:t>（四）因会计准则变更以外的原因</w:t>
      </w:r>
      <w:proofErr w:type="gramStart"/>
      <w:r>
        <w:rPr>
          <w:rFonts w:ascii="仿宋_GB2312" w:eastAsia="仿宋_GB2312" w:hAnsi="宋体" w:hint="eastAsia"/>
          <w:sz w:val="32"/>
          <w:szCs w:val="32"/>
        </w:rPr>
        <w:t>作出</w:t>
      </w:r>
      <w:proofErr w:type="gramEnd"/>
      <w:r>
        <w:rPr>
          <w:rFonts w:ascii="仿宋_GB2312" w:eastAsia="仿宋_GB2312" w:hAnsi="宋体" w:hint="eastAsia"/>
          <w:sz w:val="32"/>
          <w:szCs w:val="32"/>
        </w:rPr>
        <w:t>会计政策、会计估计变更或者重大会计差错更正；</w:t>
      </w:r>
    </w:p>
    <w:p w14:paraId="4CF2295B" w14:textId="77777777" w:rsidR="000C29B8" w:rsidRDefault="00000000">
      <w:pPr>
        <w:snapToGrid w:val="0"/>
        <w:spacing w:line="560" w:lineRule="exact"/>
        <w:ind w:firstLine="640"/>
        <w:rPr>
          <w:rFonts w:ascii="仿宋_GB2312" w:eastAsia="仿宋_GB2312" w:hAnsi="宋体"/>
          <w:sz w:val="32"/>
          <w:szCs w:val="32"/>
        </w:rPr>
      </w:pPr>
      <w:r>
        <w:rPr>
          <w:rFonts w:ascii="仿宋_GB2312" w:eastAsia="仿宋_GB2312" w:hAnsi="宋体" w:hint="eastAsia"/>
          <w:sz w:val="32"/>
          <w:szCs w:val="32"/>
        </w:rPr>
        <w:t>（五）法律法规、本所相关规定及公司章程规定的其他事项。</w:t>
      </w:r>
    </w:p>
    <w:p w14:paraId="01296413" w14:textId="77777777" w:rsidR="000C29B8" w:rsidRDefault="00000000">
      <w:pPr>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提名委员会、薪酬与考核委员会应当按照法律法规、本所相关规定、公司章程和董事会的规定履行职责，就相关事项向董事会提出建议。董事会对相关建议未采纳或者未完全采纳的，应当在董事会决议中记载相关意见及未采纳的具体理由，并进行披露。</w:t>
      </w:r>
    </w:p>
    <w:p w14:paraId="2BF0E27A" w14:textId="77777777" w:rsidR="000C29B8" w:rsidRDefault="00000000">
      <w:pPr>
        <w:pStyle w:val="afa"/>
        <w:numPr>
          <w:ilvl w:val="0"/>
          <w:numId w:val="18"/>
        </w:numPr>
        <w:spacing w:line="560" w:lineRule="exact"/>
        <w:ind w:left="0" w:firstLine="640"/>
        <w:rPr>
          <w:rFonts w:ascii="仿宋_GB2312" w:hAnsi="宋体"/>
          <w:sz w:val="32"/>
          <w:szCs w:val="32"/>
        </w:rPr>
      </w:pPr>
      <w:r>
        <w:rPr>
          <w:rFonts w:ascii="仿宋_GB2312" w:hAnsi="宋体" w:hint="eastAsia"/>
          <w:sz w:val="32"/>
          <w:szCs w:val="32"/>
        </w:rPr>
        <w:t>监事会应当检查上市公司财务状况，监督上市公司规范运作和董事、高级管理人员履行职责情况。</w:t>
      </w:r>
    </w:p>
    <w:p w14:paraId="532D374A" w14:textId="77777777" w:rsidR="000C29B8" w:rsidRDefault="00000000">
      <w:pPr>
        <w:numPr>
          <w:ilvl w:val="12"/>
          <w:numId w:val="0"/>
        </w:numPr>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监事会的人员和结构应当确保能够独立有效地履行职</w:t>
      </w:r>
      <w:r>
        <w:rPr>
          <w:rFonts w:ascii="仿宋_GB2312" w:eastAsia="仿宋_GB2312" w:hAnsi="宋体" w:hint="eastAsia"/>
          <w:sz w:val="32"/>
          <w:szCs w:val="32"/>
        </w:rPr>
        <w:lastRenderedPageBreak/>
        <w:t>责。监事应当具备</w:t>
      </w:r>
      <w:proofErr w:type="gramStart"/>
      <w:r>
        <w:rPr>
          <w:rFonts w:ascii="仿宋_GB2312" w:eastAsia="仿宋_GB2312" w:hAnsi="宋体" w:hint="eastAsia"/>
          <w:sz w:val="32"/>
          <w:szCs w:val="32"/>
        </w:rPr>
        <w:t>履</w:t>
      </w:r>
      <w:proofErr w:type="gramEnd"/>
      <w:r>
        <w:rPr>
          <w:rFonts w:ascii="仿宋_GB2312" w:eastAsia="仿宋_GB2312" w:hAnsi="宋体" w:hint="eastAsia"/>
          <w:sz w:val="32"/>
          <w:szCs w:val="32"/>
        </w:rPr>
        <w:t>职能力。上市公司董事、高级管理人员不得兼任监事。</w:t>
      </w:r>
    </w:p>
    <w:p w14:paraId="08AEF67A" w14:textId="77777777" w:rsidR="000C29B8" w:rsidRDefault="00000000">
      <w:pPr>
        <w:pStyle w:val="afa"/>
        <w:numPr>
          <w:ilvl w:val="0"/>
          <w:numId w:val="18"/>
        </w:numPr>
        <w:spacing w:line="560" w:lineRule="exact"/>
        <w:ind w:left="0" w:firstLine="640"/>
        <w:rPr>
          <w:rFonts w:ascii="仿宋_GB2312"/>
          <w:sz w:val="32"/>
          <w:szCs w:val="32"/>
        </w:rPr>
      </w:pPr>
      <w:r>
        <w:rPr>
          <w:rFonts w:ascii="仿宋_GB2312" w:hAnsi="黑体" w:hint="eastAsia"/>
          <w:sz w:val="32"/>
          <w:szCs w:val="32"/>
        </w:rPr>
        <w:t>上市公司</w:t>
      </w:r>
      <w:r>
        <w:rPr>
          <w:rFonts w:ascii="仿宋_GB2312" w:hAnsi="宋体" w:hint="eastAsia"/>
          <w:sz w:val="32"/>
          <w:szCs w:val="32"/>
        </w:rPr>
        <w:t>监事会发现董事、高级管理人员违反法律法规、本规则和本所有关规定、公司章程的，应当向董事会通报或者向股东大会报告，并及时披露。</w:t>
      </w:r>
    </w:p>
    <w:p w14:paraId="3B32675C" w14:textId="77777777" w:rsidR="000C29B8" w:rsidRDefault="00000000">
      <w:pPr>
        <w:pStyle w:val="afa"/>
        <w:numPr>
          <w:ilvl w:val="0"/>
          <w:numId w:val="18"/>
        </w:numPr>
        <w:spacing w:line="560" w:lineRule="exact"/>
        <w:ind w:left="0" w:firstLine="640"/>
        <w:rPr>
          <w:rFonts w:ascii="仿宋_GB2312"/>
          <w:sz w:val="32"/>
          <w:szCs w:val="32"/>
        </w:rPr>
      </w:pPr>
      <w:r>
        <w:rPr>
          <w:rFonts w:ascii="仿宋_GB2312" w:hint="eastAsia"/>
          <w:sz w:val="32"/>
          <w:szCs w:val="32"/>
        </w:rPr>
        <w:t>上市公司应当制定监事会议事规则，</w:t>
      </w:r>
      <w:r>
        <w:rPr>
          <w:rFonts w:ascii="仿宋_GB2312" w:hAnsi="宋体" w:hint="eastAsia"/>
          <w:sz w:val="32"/>
          <w:szCs w:val="32"/>
        </w:rPr>
        <w:t>并列入公司章程或者作为章程附件，报股东大会批准，确保监事会有效履行职责。</w:t>
      </w:r>
    </w:p>
    <w:p w14:paraId="17B40160"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上市公司应当披露监事会决议公告；监事反对或弃权的，应当披露反对或弃权理由。</w:t>
      </w:r>
    </w:p>
    <w:p w14:paraId="6FA58841" w14:textId="77777777" w:rsidR="000C29B8" w:rsidRDefault="00000000">
      <w:pPr>
        <w:pStyle w:val="afa"/>
        <w:numPr>
          <w:ilvl w:val="0"/>
          <w:numId w:val="18"/>
        </w:numPr>
        <w:spacing w:line="560" w:lineRule="exact"/>
        <w:ind w:left="0" w:firstLine="640"/>
        <w:rPr>
          <w:rFonts w:ascii="仿宋_GB2312" w:hAnsi="Times New Roman"/>
          <w:sz w:val="32"/>
          <w:szCs w:val="32"/>
        </w:rPr>
      </w:pPr>
      <w:r>
        <w:rPr>
          <w:rFonts w:ascii="仿宋_GB2312"/>
          <w:sz w:val="32"/>
          <w:szCs w:val="32"/>
        </w:rPr>
        <w:t>上市公司应当聘请具有执行证券、期货相关业务资格</w:t>
      </w:r>
      <w:r>
        <w:rPr>
          <w:rFonts w:ascii="仿宋_GB2312" w:hint="eastAsia"/>
          <w:sz w:val="32"/>
          <w:szCs w:val="32"/>
        </w:rPr>
        <w:t>的</w:t>
      </w:r>
      <w:r>
        <w:rPr>
          <w:rFonts w:ascii="仿宋_GB2312"/>
          <w:sz w:val="32"/>
          <w:szCs w:val="32"/>
        </w:rPr>
        <w:t>会计师事务所</w:t>
      </w:r>
      <w:r>
        <w:rPr>
          <w:rFonts w:ascii="仿宋_GB2312" w:hint="eastAsia"/>
          <w:sz w:val="32"/>
          <w:szCs w:val="32"/>
        </w:rPr>
        <w:t>，</w:t>
      </w:r>
      <w:r>
        <w:rPr>
          <w:rFonts w:ascii="仿宋_GB2312"/>
          <w:sz w:val="32"/>
          <w:szCs w:val="32"/>
        </w:rPr>
        <w:t>为其提供会计报表审计、</w:t>
      </w:r>
      <w:r>
        <w:rPr>
          <w:rFonts w:ascii="仿宋_GB2312" w:hint="eastAsia"/>
          <w:sz w:val="32"/>
          <w:szCs w:val="32"/>
        </w:rPr>
        <w:t>验资</w:t>
      </w:r>
      <w:r>
        <w:rPr>
          <w:rFonts w:ascii="仿宋_GB2312"/>
          <w:sz w:val="32"/>
          <w:szCs w:val="32"/>
        </w:rPr>
        <w:t>及其他相关服务。</w:t>
      </w:r>
    </w:p>
    <w:p w14:paraId="3C691149"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sz w:val="32"/>
          <w:szCs w:val="32"/>
        </w:rPr>
        <w:t>公司聘请或者解聘会计师事务所</w:t>
      </w:r>
      <w:r>
        <w:rPr>
          <w:rFonts w:ascii="仿宋_GB2312" w:eastAsia="仿宋_GB2312" w:hint="eastAsia"/>
          <w:sz w:val="32"/>
          <w:szCs w:val="32"/>
        </w:rPr>
        <w:t>应当</w:t>
      </w:r>
      <w:r>
        <w:rPr>
          <w:rFonts w:ascii="仿宋_GB2312" w:eastAsia="仿宋_GB2312"/>
          <w:sz w:val="32"/>
          <w:szCs w:val="32"/>
        </w:rPr>
        <w:t>由股东大会决定，董事会不得在股东大会决定前委任会计师事务所。</w:t>
      </w:r>
    </w:p>
    <w:p w14:paraId="25C8F81C"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sz w:val="32"/>
          <w:szCs w:val="32"/>
        </w:rPr>
        <w:t>公司股东大会就解聘会计师事务所进行表决时，会计师事务所可以陈述意见。</w:t>
      </w:r>
    </w:p>
    <w:p w14:paraId="29E314CD" w14:textId="77777777" w:rsidR="000C29B8" w:rsidRDefault="00000000">
      <w:pPr>
        <w:pStyle w:val="afa"/>
        <w:numPr>
          <w:ilvl w:val="0"/>
          <w:numId w:val="18"/>
        </w:numPr>
        <w:spacing w:line="560" w:lineRule="exact"/>
        <w:ind w:left="0" w:firstLine="640"/>
        <w:rPr>
          <w:rFonts w:ascii="仿宋_GB2312" w:hAnsi="宋体"/>
          <w:sz w:val="32"/>
          <w:szCs w:val="32"/>
        </w:rPr>
      </w:pPr>
      <w:r>
        <w:rPr>
          <w:rFonts w:ascii="仿宋_GB2312" w:hAnsi="宋体" w:hint="eastAsia"/>
          <w:sz w:val="32"/>
          <w:szCs w:val="32"/>
        </w:rPr>
        <w:t>股东大会、董事会或者监事会不能正常召开，或者决议效力存在争议的，上市公司应当及时披露相关事项、争议各方的主张、公司现状等有助于投资者了解公司实际情况的信息。</w:t>
      </w:r>
    </w:p>
    <w:p w14:paraId="07A1D305" w14:textId="77777777" w:rsidR="000C29B8" w:rsidRDefault="00000000">
      <w:pPr>
        <w:numPr>
          <w:ilvl w:val="12"/>
          <w:numId w:val="0"/>
        </w:numPr>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出现前款规定情形的，上市公司董事会应当维护公司正常生产经营秩序，保护公司及全体股东利益，公平对待所有股东。</w:t>
      </w:r>
    </w:p>
    <w:p w14:paraId="6629126C" w14:textId="77777777" w:rsidR="000C29B8" w:rsidRDefault="00000000">
      <w:pPr>
        <w:pStyle w:val="afa"/>
        <w:numPr>
          <w:ilvl w:val="0"/>
          <w:numId w:val="18"/>
        </w:numPr>
        <w:spacing w:line="560" w:lineRule="exact"/>
        <w:ind w:left="0" w:firstLine="640"/>
        <w:rPr>
          <w:rFonts w:ascii="仿宋_GB2312" w:hAnsi="宋体"/>
          <w:sz w:val="32"/>
          <w:szCs w:val="32"/>
        </w:rPr>
      </w:pPr>
      <w:r>
        <w:rPr>
          <w:rFonts w:ascii="仿宋_GB2312" w:hAnsi="宋体" w:hint="eastAsia"/>
          <w:sz w:val="32"/>
          <w:szCs w:val="32"/>
        </w:rPr>
        <w:lastRenderedPageBreak/>
        <w:t>上市公司控股子公司不得取得该上市公司发行的股份。确因特殊原因持有股份的，应当在一年内依法消除该情形。前述情形消除前，相关子公司不得行使所持股份对应的表决权。</w:t>
      </w:r>
    </w:p>
    <w:p w14:paraId="50B4AE7F" w14:textId="77777777" w:rsidR="000C29B8" w:rsidRDefault="00000000">
      <w:pPr>
        <w:pStyle w:val="23"/>
        <w:numPr>
          <w:ilvl w:val="1"/>
          <w:numId w:val="1"/>
        </w:numPr>
        <w:ind w:left="0" w:firstLine="643"/>
      </w:pPr>
      <w:bookmarkStart w:id="77" w:name="_Toc9442"/>
      <w:r>
        <w:rPr>
          <w:rFonts w:hint="eastAsia"/>
        </w:rPr>
        <w:t>社会责任</w:t>
      </w:r>
      <w:bookmarkEnd w:id="77"/>
    </w:p>
    <w:p w14:paraId="3E97223E" w14:textId="77777777" w:rsidR="000C29B8" w:rsidRDefault="00000000">
      <w:pPr>
        <w:pStyle w:val="afa"/>
        <w:numPr>
          <w:ilvl w:val="0"/>
          <w:numId w:val="19"/>
        </w:numPr>
        <w:spacing w:line="560" w:lineRule="exact"/>
        <w:ind w:left="0" w:firstLine="640"/>
        <w:rPr>
          <w:rFonts w:ascii="仿宋_GB2312" w:hAnsi="宋体"/>
          <w:sz w:val="32"/>
          <w:szCs w:val="32"/>
        </w:rPr>
      </w:pPr>
      <w:r>
        <w:rPr>
          <w:rFonts w:ascii="仿宋_GB2312" w:hAnsi="仿宋" w:hint="eastAsia"/>
          <w:sz w:val="32"/>
          <w:szCs w:val="32"/>
        </w:rPr>
        <w:t>上市公司应当积极承担社会责任，维护社会公共利益，并披露保护环境、保障产品安全、维护员工与其他利益相关者合法权益等履行社会责任的情况。</w:t>
      </w:r>
    </w:p>
    <w:p w14:paraId="470971C6"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上市公司应当在年度报告中披露履行社会责任的情况，并视情况编制和披露社会责任报告、可持续发展报告、环境责任报告等文件。</w:t>
      </w:r>
      <w:r>
        <w:rPr>
          <w:rFonts w:ascii="仿宋_GB2312" w:eastAsia="仿宋_GB2312" w:hAnsi="宋体"/>
          <w:sz w:val="32"/>
          <w:szCs w:val="32"/>
        </w:rPr>
        <w:t>出现违背社会责任重大事项时应当</w:t>
      </w:r>
      <w:r>
        <w:rPr>
          <w:rFonts w:ascii="仿宋_GB2312" w:eastAsia="仿宋_GB2312" w:hAnsi="宋体" w:hint="eastAsia"/>
          <w:sz w:val="32"/>
          <w:szCs w:val="32"/>
        </w:rPr>
        <w:t>充分</w:t>
      </w:r>
      <w:r>
        <w:rPr>
          <w:rFonts w:ascii="仿宋_GB2312" w:eastAsia="仿宋_GB2312" w:hAnsi="宋体"/>
          <w:sz w:val="32"/>
          <w:szCs w:val="32"/>
        </w:rPr>
        <w:t>评估潜在影响</w:t>
      </w:r>
      <w:r>
        <w:rPr>
          <w:rFonts w:ascii="仿宋_GB2312" w:eastAsia="仿宋_GB2312" w:hAnsi="宋体" w:hint="eastAsia"/>
          <w:sz w:val="32"/>
          <w:szCs w:val="32"/>
        </w:rPr>
        <w:t>并</w:t>
      </w:r>
      <w:r>
        <w:rPr>
          <w:rFonts w:ascii="仿宋_GB2312" w:eastAsia="仿宋_GB2312" w:hAnsi="宋体"/>
          <w:sz w:val="32"/>
          <w:szCs w:val="32"/>
        </w:rPr>
        <w:t>及时披露，说明原因和解决方案。</w:t>
      </w:r>
    </w:p>
    <w:p w14:paraId="505E9D2F" w14:textId="77777777" w:rsidR="000C29B8" w:rsidRDefault="00000000">
      <w:pPr>
        <w:pStyle w:val="afa"/>
        <w:numPr>
          <w:ilvl w:val="0"/>
          <w:numId w:val="19"/>
        </w:numPr>
        <w:spacing w:line="560" w:lineRule="exact"/>
        <w:ind w:left="0" w:firstLine="640"/>
        <w:rPr>
          <w:rFonts w:ascii="仿宋_GB2312" w:hAnsi="宋体"/>
          <w:sz w:val="32"/>
          <w:szCs w:val="32"/>
        </w:rPr>
      </w:pPr>
      <w:r>
        <w:rPr>
          <w:rFonts w:ascii="仿宋_GB2312" w:hAnsi="仿宋" w:hint="eastAsia"/>
          <w:sz w:val="32"/>
          <w:szCs w:val="32"/>
        </w:rPr>
        <w:t>上市公司应当将生态环保要求融入发展战略和公司治理过程，并根据自身生产经营特点和实际情况，履行下列环境保护责任：</w:t>
      </w:r>
    </w:p>
    <w:p w14:paraId="58C0EF43" w14:textId="77777777" w:rsidR="000C29B8" w:rsidRDefault="0000000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（一）遵守环境保护法律法规与行业标准；</w:t>
      </w:r>
    </w:p>
    <w:p w14:paraId="7CA7B959" w14:textId="77777777" w:rsidR="000C29B8" w:rsidRDefault="0000000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（二）制订执行公司环境保护计划；</w:t>
      </w:r>
    </w:p>
    <w:p w14:paraId="497E8DA2" w14:textId="77777777" w:rsidR="000C29B8" w:rsidRDefault="0000000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（三）高效使用能源、水资源、原材料等自然资源；</w:t>
      </w:r>
    </w:p>
    <w:p w14:paraId="170C54E6" w14:textId="77777777" w:rsidR="000C29B8" w:rsidRDefault="0000000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（四）合</w:t>
      </w:r>
      <w:proofErr w:type="gramStart"/>
      <w:r>
        <w:rPr>
          <w:rFonts w:ascii="仿宋_GB2312" w:eastAsia="仿宋_GB2312" w:hAnsi="仿宋" w:hint="eastAsia"/>
          <w:sz w:val="32"/>
          <w:szCs w:val="32"/>
        </w:rPr>
        <w:t>规</w:t>
      </w:r>
      <w:proofErr w:type="gramEnd"/>
      <w:r>
        <w:rPr>
          <w:rFonts w:ascii="仿宋_GB2312" w:eastAsia="仿宋_GB2312" w:hAnsi="仿宋" w:hint="eastAsia"/>
          <w:sz w:val="32"/>
          <w:szCs w:val="32"/>
        </w:rPr>
        <w:t>处置污染物；</w:t>
      </w:r>
    </w:p>
    <w:p w14:paraId="4F21B540" w14:textId="77777777" w:rsidR="000C29B8" w:rsidRDefault="0000000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（五）建设运行有效的污染防治设施；</w:t>
      </w:r>
    </w:p>
    <w:p w14:paraId="5B332CD8" w14:textId="77777777" w:rsidR="000C29B8" w:rsidRDefault="0000000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（六）足额缴纳环境保护相关税费；</w:t>
      </w:r>
    </w:p>
    <w:p w14:paraId="554C3714" w14:textId="77777777" w:rsidR="000C29B8" w:rsidRDefault="0000000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（七）保障供应链环境安全；</w:t>
      </w:r>
    </w:p>
    <w:p w14:paraId="67E9E795" w14:textId="77777777" w:rsidR="000C29B8" w:rsidRDefault="0000000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（八）其他应当履行的环境保护责任事项。</w:t>
      </w:r>
    </w:p>
    <w:p w14:paraId="13663FDC" w14:textId="77777777" w:rsidR="000C29B8" w:rsidRDefault="00000000">
      <w:pPr>
        <w:pStyle w:val="afa"/>
        <w:numPr>
          <w:ilvl w:val="0"/>
          <w:numId w:val="19"/>
        </w:numPr>
        <w:spacing w:line="560" w:lineRule="exact"/>
        <w:ind w:left="0" w:firstLine="640"/>
        <w:rPr>
          <w:rFonts w:ascii="仿宋_GB2312"/>
          <w:sz w:val="32"/>
          <w:szCs w:val="32"/>
        </w:rPr>
      </w:pPr>
      <w:r>
        <w:rPr>
          <w:rFonts w:ascii="仿宋_GB2312" w:hint="eastAsia"/>
          <w:sz w:val="32"/>
          <w:szCs w:val="32"/>
        </w:rPr>
        <w:t>上市公司应当</w:t>
      </w:r>
      <w:r>
        <w:rPr>
          <w:rFonts w:ascii="仿宋_GB2312" w:hAnsi="仿宋" w:hint="eastAsia"/>
          <w:sz w:val="32"/>
          <w:szCs w:val="32"/>
        </w:rPr>
        <w:t>根据自身生产经营模式，</w:t>
      </w:r>
      <w:r>
        <w:rPr>
          <w:rFonts w:ascii="仿宋_GB2312" w:hint="eastAsia"/>
          <w:sz w:val="32"/>
          <w:szCs w:val="32"/>
        </w:rPr>
        <w:t>履行下列</w:t>
      </w:r>
      <w:r>
        <w:rPr>
          <w:rFonts w:ascii="仿宋_GB2312" w:hint="eastAsia"/>
          <w:sz w:val="32"/>
          <w:szCs w:val="32"/>
        </w:rPr>
        <w:lastRenderedPageBreak/>
        <w:t>生产及产品安全保障责任：</w:t>
      </w:r>
    </w:p>
    <w:p w14:paraId="54AC90A5" w14:textId="77777777" w:rsidR="000C29B8" w:rsidRDefault="00000000">
      <w:pPr>
        <w:spacing w:line="560" w:lineRule="exact"/>
        <w:ind w:firstLineChars="200" w:firstLine="640"/>
        <w:rPr>
          <w:rFonts w:ascii="仿宋_GB2312" w:eastAsia="仿宋_GB2312" w:hAnsi="仿宋"/>
          <w:sz w:val="32"/>
          <w:szCs w:val="32"/>
        </w:rPr>
      </w:pPr>
      <w:r>
        <w:rPr>
          <w:rFonts w:ascii="仿宋_GB2312" w:eastAsia="仿宋_GB2312" w:hint="eastAsia"/>
          <w:sz w:val="32"/>
          <w:szCs w:val="32"/>
        </w:rPr>
        <w:t>（一）</w:t>
      </w:r>
      <w:r>
        <w:rPr>
          <w:rFonts w:ascii="仿宋_GB2312" w:eastAsia="仿宋_GB2312" w:hAnsi="仿宋" w:hint="eastAsia"/>
          <w:sz w:val="32"/>
          <w:szCs w:val="32"/>
        </w:rPr>
        <w:t>遵守产品安全法律法规与行业标准；</w:t>
      </w:r>
    </w:p>
    <w:p w14:paraId="7B35ECD8" w14:textId="77777777" w:rsidR="000C29B8" w:rsidRDefault="00000000">
      <w:pPr>
        <w:spacing w:line="560" w:lineRule="exact"/>
        <w:ind w:firstLineChars="200" w:firstLine="640"/>
        <w:rPr>
          <w:rFonts w:ascii="仿宋_GB2312" w:eastAsia="仿宋_GB2312" w:hAnsi="仿宋"/>
          <w:sz w:val="32"/>
          <w:szCs w:val="32"/>
        </w:rPr>
      </w:pPr>
      <w:r>
        <w:rPr>
          <w:rFonts w:ascii="仿宋_GB2312" w:eastAsia="仿宋_GB2312" w:hint="eastAsia"/>
          <w:sz w:val="32"/>
          <w:szCs w:val="32"/>
        </w:rPr>
        <w:t>（二）建</w:t>
      </w:r>
      <w:r>
        <w:rPr>
          <w:rFonts w:ascii="仿宋_GB2312" w:eastAsia="仿宋_GB2312" w:hAnsi="仿宋" w:hint="eastAsia"/>
          <w:sz w:val="32"/>
          <w:szCs w:val="32"/>
        </w:rPr>
        <w:t>立安全可靠的生产环境和生产流程</w:t>
      </w:r>
      <w:r>
        <w:rPr>
          <w:rFonts w:ascii="仿宋_GB2312" w:eastAsia="仿宋_GB2312" w:hint="eastAsia"/>
          <w:sz w:val="32"/>
          <w:szCs w:val="32"/>
        </w:rPr>
        <w:t>；</w:t>
      </w:r>
    </w:p>
    <w:p w14:paraId="5ECC11AE"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（三）建立产品质量安全保障机制与产品安全事故应急方案；</w:t>
      </w:r>
    </w:p>
    <w:p w14:paraId="55CF19C0" w14:textId="77777777" w:rsidR="000C29B8" w:rsidRDefault="00000000">
      <w:pPr>
        <w:pStyle w:val="afa"/>
        <w:spacing w:line="560" w:lineRule="exact"/>
        <w:ind w:firstLine="640"/>
        <w:rPr>
          <w:rFonts w:ascii="仿宋_GB2312"/>
          <w:sz w:val="32"/>
          <w:szCs w:val="32"/>
        </w:rPr>
      </w:pPr>
      <w:r>
        <w:rPr>
          <w:rFonts w:ascii="仿宋_GB2312" w:hint="eastAsia"/>
          <w:sz w:val="32"/>
          <w:szCs w:val="32"/>
        </w:rPr>
        <w:t>（四）其他应当履行的生产与产品安全责任。</w:t>
      </w:r>
    </w:p>
    <w:p w14:paraId="051BB6EA" w14:textId="77777777" w:rsidR="000C29B8" w:rsidRDefault="00000000">
      <w:pPr>
        <w:pStyle w:val="afa"/>
        <w:numPr>
          <w:ilvl w:val="0"/>
          <w:numId w:val="19"/>
        </w:numPr>
        <w:spacing w:line="560" w:lineRule="exact"/>
        <w:ind w:left="0" w:firstLine="640"/>
        <w:rPr>
          <w:rFonts w:ascii="仿宋_GB2312" w:hAnsi="Times New Roman"/>
          <w:sz w:val="32"/>
          <w:szCs w:val="32"/>
        </w:rPr>
      </w:pPr>
      <w:r>
        <w:rPr>
          <w:rFonts w:ascii="仿宋_GB2312" w:hAnsi="Times New Roman" w:hint="eastAsia"/>
          <w:sz w:val="32"/>
          <w:szCs w:val="32"/>
        </w:rPr>
        <w:t>上市公司应当根据员工构成情况，履行下列员工权益保障责任：</w:t>
      </w:r>
    </w:p>
    <w:p w14:paraId="1344F285"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（一）建立员工聘用解雇、薪酬福利、社会保险、工作时间等管理制度及违规处理措施；</w:t>
      </w:r>
    </w:p>
    <w:p w14:paraId="5718A50B"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（二）建立防范职业性危害的工作环境与配套安全措施；</w:t>
      </w:r>
    </w:p>
    <w:p w14:paraId="678070D5"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（三）开展必要的员工知识和职业技能培训；</w:t>
      </w:r>
    </w:p>
    <w:p w14:paraId="4575936A" w14:textId="77777777" w:rsidR="000C29B8" w:rsidRDefault="00000000">
      <w:pPr>
        <w:pStyle w:val="afa"/>
        <w:spacing w:line="560" w:lineRule="exact"/>
        <w:ind w:firstLine="640"/>
        <w:rPr>
          <w:rFonts w:ascii="仿宋_GB2312"/>
          <w:sz w:val="32"/>
          <w:szCs w:val="32"/>
        </w:rPr>
      </w:pPr>
      <w:r>
        <w:rPr>
          <w:rFonts w:ascii="仿宋_GB2312" w:hint="eastAsia"/>
          <w:sz w:val="32"/>
          <w:szCs w:val="32"/>
        </w:rPr>
        <w:t>（四）其他应当履行的员工权益保护责任。</w:t>
      </w:r>
    </w:p>
    <w:p w14:paraId="4AA522E6" w14:textId="77777777" w:rsidR="000C29B8" w:rsidRDefault="00000000">
      <w:pPr>
        <w:pStyle w:val="afa"/>
        <w:numPr>
          <w:ilvl w:val="0"/>
          <w:numId w:val="19"/>
        </w:numPr>
        <w:spacing w:line="560" w:lineRule="exact"/>
        <w:ind w:left="0" w:firstLine="640"/>
        <w:rPr>
          <w:rFonts w:ascii="仿宋_GB2312"/>
          <w:sz w:val="28"/>
          <w:szCs w:val="28"/>
        </w:rPr>
      </w:pPr>
      <w:r>
        <w:rPr>
          <w:rFonts w:ascii="仿宋_GB2312" w:hAnsi="Times New Roman" w:hint="eastAsia"/>
          <w:sz w:val="32"/>
          <w:szCs w:val="32"/>
        </w:rPr>
        <w:t>上市公司应当严格遵守科学伦理规范，尊重科学精神，恪守应有的价值观念、社会责任和行为规范，发挥科学技术的正面效应。</w:t>
      </w:r>
    </w:p>
    <w:p w14:paraId="3C389FC8"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上市公司应当避免研究、开发和使用危害自然环境、生命健康、公共安全、伦理道德的科学技术，不得从事侵犯个人基本权利或者损害社会公共利益的研发和经营活动。</w:t>
      </w:r>
    </w:p>
    <w:p w14:paraId="63568768" w14:textId="77777777" w:rsidR="000C29B8" w:rsidRDefault="00000000">
      <w:pPr>
        <w:spacing w:line="560" w:lineRule="exact"/>
        <w:ind w:firstLineChars="200" w:firstLine="640"/>
        <w:rPr>
          <w:rFonts w:ascii="仿宋_GB2312" w:eastAsia="仿宋_GB2312"/>
          <w:sz w:val="28"/>
          <w:szCs w:val="28"/>
        </w:rPr>
      </w:pPr>
      <w:r>
        <w:rPr>
          <w:rFonts w:ascii="仿宋_GB2312" w:eastAsia="仿宋_GB2312" w:hint="eastAsia"/>
          <w:sz w:val="32"/>
          <w:szCs w:val="32"/>
        </w:rPr>
        <w:t>上市公司在生命科学、人工智能、信息技术、生态环境、新材料等科技创新领域开发或者使用创新技术的，应当遵循审慎和稳健原则,</w:t>
      </w:r>
      <w:r>
        <w:t xml:space="preserve"> </w:t>
      </w:r>
      <w:r>
        <w:rPr>
          <w:rFonts w:ascii="仿宋_GB2312" w:eastAsia="仿宋_GB2312" w:hint="eastAsia"/>
          <w:sz w:val="32"/>
          <w:szCs w:val="32"/>
        </w:rPr>
        <w:t>充分评估其潜在影响及可靠性。</w:t>
      </w:r>
    </w:p>
    <w:p w14:paraId="09959320" w14:textId="77777777" w:rsidR="000C29B8" w:rsidRDefault="00000000">
      <w:pPr>
        <w:pStyle w:val="23"/>
        <w:numPr>
          <w:ilvl w:val="1"/>
          <w:numId w:val="1"/>
        </w:numPr>
        <w:ind w:left="0" w:firstLine="643"/>
      </w:pPr>
      <w:bookmarkStart w:id="78" w:name="_Toc530857362"/>
      <w:bookmarkStart w:id="79" w:name="_Toc530857366"/>
      <w:bookmarkStart w:id="80" w:name="_Toc530857364"/>
      <w:bookmarkStart w:id="81" w:name="_Toc530857360"/>
      <w:bookmarkStart w:id="82" w:name="_Toc530857372"/>
      <w:bookmarkStart w:id="83" w:name="_Toc530857354"/>
      <w:bookmarkStart w:id="84" w:name="_Toc530857353"/>
      <w:bookmarkStart w:id="85" w:name="_Toc530857355"/>
      <w:bookmarkStart w:id="86" w:name="_Toc530857358"/>
      <w:bookmarkStart w:id="87" w:name="_Toc530857367"/>
      <w:bookmarkStart w:id="88" w:name="_Toc530857357"/>
      <w:bookmarkStart w:id="89" w:name="_Toc530857368"/>
      <w:bookmarkStart w:id="90" w:name="_Toc530857359"/>
      <w:bookmarkStart w:id="91" w:name="_Toc530857363"/>
      <w:bookmarkStart w:id="92" w:name="_Toc530857370"/>
      <w:bookmarkStart w:id="93" w:name="_Toc530857369"/>
      <w:bookmarkStart w:id="94" w:name="_Toc530857356"/>
      <w:bookmarkStart w:id="95" w:name="_Toc530857361"/>
      <w:bookmarkStart w:id="96" w:name="_Toc530857365"/>
      <w:bookmarkStart w:id="97" w:name="_Toc530857371"/>
      <w:bookmarkStart w:id="98" w:name="_Toc530857373"/>
      <w:bookmarkStart w:id="99" w:name="_Toc24166"/>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Pr>
          <w:rFonts w:hint="eastAsia"/>
        </w:rPr>
        <w:t>表决权差异安排</w:t>
      </w:r>
      <w:bookmarkEnd w:id="99"/>
    </w:p>
    <w:p w14:paraId="4A39ED25" w14:textId="77777777" w:rsidR="000C29B8" w:rsidRDefault="00000000">
      <w:pPr>
        <w:numPr>
          <w:ilvl w:val="2"/>
          <w:numId w:val="20"/>
        </w:numPr>
        <w:tabs>
          <w:tab w:val="left" w:pos="0"/>
          <w:tab w:val="left" w:pos="1276"/>
        </w:tabs>
        <w:snapToGrid w:val="0"/>
        <w:spacing w:line="560" w:lineRule="exact"/>
        <w:ind w:left="0" w:firstLineChars="200" w:firstLine="640"/>
        <w:rPr>
          <w:rFonts w:ascii="仿宋_GB2312" w:eastAsia="仿宋_GB2312" w:hAnsi="仿宋"/>
          <w:sz w:val="32"/>
          <w:szCs w:val="32"/>
        </w:rPr>
      </w:pPr>
      <w:r>
        <w:rPr>
          <w:rFonts w:ascii="仿宋_GB2312" w:eastAsia="仿宋_GB2312" w:hAnsi="仿宋" w:hint="eastAsia"/>
          <w:sz w:val="32"/>
          <w:szCs w:val="32"/>
        </w:rPr>
        <w:t>上市公司具有表决权差异安排的，应当充分、详</w:t>
      </w:r>
      <w:r>
        <w:rPr>
          <w:rFonts w:ascii="仿宋_GB2312" w:eastAsia="仿宋_GB2312" w:hAnsi="仿宋" w:hint="eastAsia"/>
          <w:sz w:val="32"/>
          <w:szCs w:val="32"/>
        </w:rPr>
        <w:lastRenderedPageBreak/>
        <w:t>细披露相关情况特别是风险、公司治理等信息，以及依法落实保护投资者合法权益规定的各项措施。</w:t>
      </w:r>
    </w:p>
    <w:p w14:paraId="2B4B78F6" w14:textId="77777777" w:rsidR="000C29B8" w:rsidRDefault="00000000">
      <w:pPr>
        <w:numPr>
          <w:ilvl w:val="2"/>
          <w:numId w:val="20"/>
        </w:numPr>
        <w:tabs>
          <w:tab w:val="left" w:pos="0"/>
          <w:tab w:val="left" w:pos="1276"/>
        </w:tabs>
        <w:snapToGrid w:val="0"/>
        <w:spacing w:line="560" w:lineRule="exact"/>
        <w:ind w:left="0" w:firstLineChars="200" w:firstLine="640"/>
        <w:rPr>
          <w:rFonts w:ascii="仿宋_GB2312" w:eastAsia="仿宋_GB2312" w:hAnsi="仿宋"/>
          <w:sz w:val="32"/>
          <w:szCs w:val="32"/>
        </w:rPr>
      </w:pPr>
      <w:r>
        <w:rPr>
          <w:rFonts w:ascii="仿宋_GB2312" w:eastAsia="仿宋_GB2312" w:hAnsi="仿宋" w:hint="eastAsia"/>
          <w:sz w:val="32"/>
          <w:szCs w:val="32"/>
        </w:rPr>
        <w:t>发行人首次公开发行并上市前设置表决权差异安排的，应当经出席股东大会的股东所持三分之二以上的表决权通过。</w:t>
      </w:r>
    </w:p>
    <w:p w14:paraId="096C4B04" w14:textId="77777777" w:rsidR="000C29B8" w:rsidRDefault="00000000">
      <w:pPr>
        <w:tabs>
          <w:tab w:val="left" w:pos="1276"/>
          <w:tab w:val="left" w:pos="1418"/>
        </w:tabs>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发行人在首次公开发行并上市前不具有表决权差异安排的，不得在首次公开发行并上市后以任何方式设置此类安排。</w:t>
      </w:r>
    </w:p>
    <w:p w14:paraId="1A867D2C" w14:textId="77777777" w:rsidR="000C29B8" w:rsidRDefault="00000000">
      <w:pPr>
        <w:numPr>
          <w:ilvl w:val="2"/>
          <w:numId w:val="20"/>
        </w:numPr>
        <w:tabs>
          <w:tab w:val="left" w:pos="0"/>
          <w:tab w:val="left" w:pos="1276"/>
        </w:tabs>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持有特别表决权股份的股东应当为对上市公司发展或者业务增长等</w:t>
      </w:r>
      <w:proofErr w:type="gramStart"/>
      <w:r>
        <w:rPr>
          <w:rFonts w:ascii="仿宋_GB2312" w:eastAsia="仿宋_GB2312" w:hint="eastAsia"/>
          <w:sz w:val="32"/>
          <w:szCs w:val="32"/>
        </w:rPr>
        <w:t>作出</w:t>
      </w:r>
      <w:proofErr w:type="gramEnd"/>
      <w:r>
        <w:rPr>
          <w:rFonts w:ascii="仿宋_GB2312" w:eastAsia="仿宋_GB2312" w:hint="eastAsia"/>
          <w:sz w:val="32"/>
          <w:szCs w:val="32"/>
        </w:rPr>
        <w:t>重大贡献，并且在公司上市前及上市后持续担任公司董事的人员或者该等人员实际控制的持股主体。</w:t>
      </w:r>
    </w:p>
    <w:p w14:paraId="347CB49C"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持有特别表决权股份的股东在上市公司中拥有权益的股份合计应当达到公司全部已发行有表决权股份10%以上。</w:t>
      </w:r>
    </w:p>
    <w:p w14:paraId="2F29A448" w14:textId="77777777" w:rsidR="000C29B8" w:rsidRDefault="00000000">
      <w:pPr>
        <w:numPr>
          <w:ilvl w:val="2"/>
          <w:numId w:val="20"/>
        </w:numPr>
        <w:tabs>
          <w:tab w:val="left" w:pos="0"/>
          <w:tab w:val="left" w:pos="1276"/>
        </w:tabs>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上市公司章程应当规定每份特别表决权股份的表决权数量。</w:t>
      </w:r>
    </w:p>
    <w:p w14:paraId="6B902F4D"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每份特别表决权股份的表决权数量应当相同，且不得超过每份普通股份的表决权数量的10倍。</w:t>
      </w:r>
    </w:p>
    <w:p w14:paraId="15739250" w14:textId="77777777" w:rsidR="000C29B8" w:rsidRDefault="00000000">
      <w:pPr>
        <w:numPr>
          <w:ilvl w:val="2"/>
          <w:numId w:val="20"/>
        </w:numPr>
        <w:tabs>
          <w:tab w:val="left" w:pos="0"/>
          <w:tab w:val="left" w:pos="1276"/>
        </w:tabs>
        <w:snapToGrid w:val="0"/>
        <w:spacing w:line="560" w:lineRule="exact"/>
        <w:ind w:left="0" w:firstLineChars="200" w:firstLine="640"/>
        <w:rPr>
          <w:rFonts w:ascii="仿宋_GB2312" w:eastAsia="仿宋_GB2312"/>
          <w:sz w:val="32"/>
          <w:szCs w:val="32"/>
        </w:rPr>
      </w:pPr>
      <w:r>
        <w:rPr>
          <w:rFonts w:ascii="仿宋_GB2312" w:eastAsia="仿宋_GB2312" w:hAnsi="仿宋" w:hint="eastAsia"/>
          <w:sz w:val="32"/>
          <w:szCs w:val="32"/>
        </w:rPr>
        <w:t>除公司章程规定的表决权差异外，普通股份与特别表决权股份具有的其他股东权利应当完全相同。</w:t>
      </w:r>
    </w:p>
    <w:p w14:paraId="0DC0CBED" w14:textId="77777777" w:rsidR="000C29B8" w:rsidRDefault="00000000">
      <w:pPr>
        <w:numPr>
          <w:ilvl w:val="2"/>
          <w:numId w:val="20"/>
        </w:numPr>
        <w:tabs>
          <w:tab w:val="left" w:pos="0"/>
          <w:tab w:val="left" w:pos="1276"/>
        </w:tabs>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上市公司股票在本所上市后，除同比例配股、转增股本情形外，不得在境内外发行特别表决权股份，不得提高特别表决权比例。</w:t>
      </w:r>
    </w:p>
    <w:p w14:paraId="385BF3CD" w14:textId="77777777" w:rsidR="000C29B8" w:rsidRDefault="00000000">
      <w:pPr>
        <w:tabs>
          <w:tab w:val="left" w:pos="1276"/>
          <w:tab w:val="left" w:pos="1418"/>
        </w:tabs>
        <w:snapToGrid w:val="0"/>
        <w:spacing w:line="560" w:lineRule="exact"/>
        <w:rPr>
          <w:rFonts w:ascii="仿宋_GB2312" w:eastAsia="仿宋_GB2312"/>
          <w:sz w:val="32"/>
          <w:szCs w:val="32"/>
        </w:rPr>
      </w:pPr>
      <w:r>
        <w:rPr>
          <w:rFonts w:ascii="仿宋_GB2312" w:eastAsia="仿宋_GB2312" w:hint="eastAsia"/>
          <w:sz w:val="32"/>
          <w:szCs w:val="32"/>
        </w:rPr>
        <w:t xml:space="preserve">    上市公司因股份回购等原因，可能导致特别表决权比例</w:t>
      </w:r>
      <w:r>
        <w:rPr>
          <w:rFonts w:ascii="仿宋_GB2312" w:eastAsia="仿宋_GB2312" w:hint="eastAsia"/>
          <w:sz w:val="32"/>
          <w:szCs w:val="32"/>
        </w:rPr>
        <w:lastRenderedPageBreak/>
        <w:t>提高的，应当同时采取将相应数量特别表决权股份转换为普通股份等措施，保证特别表决权比例不高于原有水平。</w:t>
      </w:r>
    </w:p>
    <w:p w14:paraId="3AA4DBDC"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本规则所称特别表决权比例，是指全部特别表决权股份的表决权数量占上市公司全部已发行股份表决权数量的比例。</w:t>
      </w:r>
    </w:p>
    <w:p w14:paraId="61935F56" w14:textId="77777777" w:rsidR="000C29B8" w:rsidRDefault="00000000">
      <w:pPr>
        <w:numPr>
          <w:ilvl w:val="2"/>
          <w:numId w:val="20"/>
        </w:numPr>
        <w:tabs>
          <w:tab w:val="left" w:pos="0"/>
          <w:tab w:val="left" w:pos="1276"/>
        </w:tabs>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应当保证普通表决权比例不低于10%；单独或者合计持有公司10%以上已发行有表决权股份的股东有权提议召开临时股东大会；单独或者合计持有公司3%以上已发行有表决权股份的股东有权提出股东大会议案。</w:t>
      </w:r>
    </w:p>
    <w:p w14:paraId="6DBD4CF7"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本规则所称普通表决权比例，是指全部普通股份的表决权数量占上市公司全部已发行股份表决权数量的比例。</w:t>
      </w:r>
    </w:p>
    <w:p w14:paraId="123EA10F" w14:textId="77777777" w:rsidR="000C29B8" w:rsidRDefault="00000000">
      <w:pPr>
        <w:numPr>
          <w:ilvl w:val="2"/>
          <w:numId w:val="20"/>
        </w:numPr>
        <w:tabs>
          <w:tab w:val="left" w:pos="0"/>
          <w:tab w:val="left" w:pos="1276"/>
        </w:tabs>
        <w:snapToGrid w:val="0"/>
        <w:spacing w:line="560" w:lineRule="exact"/>
        <w:ind w:left="0" w:firstLineChars="200" w:firstLine="640"/>
        <w:rPr>
          <w:rFonts w:ascii="仿宋_GB2312" w:eastAsia="仿宋_GB2312" w:hAnsi="仿宋_GB2312" w:cs="仿宋_GB2312"/>
          <w:sz w:val="32"/>
          <w:szCs w:val="32"/>
        </w:rPr>
      </w:pPr>
      <w:r>
        <w:rPr>
          <w:rFonts w:ascii="仿宋_GB2312" w:eastAsia="仿宋_GB2312" w:hint="eastAsia"/>
          <w:sz w:val="32"/>
          <w:szCs w:val="32"/>
        </w:rPr>
        <w:t>特别表决权股份不得在二级市场进行交易，但可以按照本所有关规定进行转让。</w:t>
      </w:r>
    </w:p>
    <w:p w14:paraId="07B583B6" w14:textId="77777777" w:rsidR="000C29B8" w:rsidRDefault="00000000">
      <w:pPr>
        <w:numPr>
          <w:ilvl w:val="2"/>
          <w:numId w:val="20"/>
        </w:numPr>
        <w:tabs>
          <w:tab w:val="left" w:pos="0"/>
          <w:tab w:val="left" w:pos="1276"/>
        </w:tabs>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出现下列情形之一的，特别表决权股份应当按照1:1的比例转换为普通股份：</w:t>
      </w:r>
    </w:p>
    <w:p w14:paraId="598A86A0"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（一）持有特别表决权股份的股东不再符合本</w:t>
      </w:r>
      <w:proofErr w:type="gramStart"/>
      <w:r>
        <w:rPr>
          <w:rFonts w:ascii="仿宋_GB2312" w:eastAsia="仿宋_GB2312" w:hint="eastAsia"/>
          <w:sz w:val="32"/>
          <w:szCs w:val="32"/>
        </w:rPr>
        <w:t>规则第4</w:t>
      </w:r>
      <w:proofErr w:type="gramEnd"/>
      <w:r>
        <w:rPr>
          <w:rFonts w:ascii="仿宋_GB2312" w:eastAsia="仿宋_GB2312" w:hint="eastAsia"/>
          <w:sz w:val="32"/>
          <w:szCs w:val="32"/>
        </w:rPr>
        <w:t>.5.3条规定的资格和最低持股要求，或者丧失相应</w:t>
      </w:r>
      <w:proofErr w:type="gramStart"/>
      <w:r>
        <w:rPr>
          <w:rFonts w:ascii="仿宋_GB2312" w:eastAsia="仿宋_GB2312" w:hint="eastAsia"/>
          <w:sz w:val="32"/>
          <w:szCs w:val="32"/>
        </w:rPr>
        <w:t>履</w:t>
      </w:r>
      <w:proofErr w:type="gramEnd"/>
      <w:r>
        <w:rPr>
          <w:rFonts w:ascii="仿宋_GB2312" w:eastAsia="仿宋_GB2312" w:hint="eastAsia"/>
          <w:sz w:val="32"/>
          <w:szCs w:val="32"/>
        </w:rPr>
        <w:t>职能力、离任、死亡；</w:t>
      </w:r>
    </w:p>
    <w:p w14:paraId="325B9A18"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（二）实际持有特别表决权股份的股东失去对相关持股主体的实际控制；</w:t>
      </w:r>
    </w:p>
    <w:p w14:paraId="7F3348C1"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（三）持有特别表决权股份的股东向他人转让所持有的特别表决权股份，或者将特别表决权股份的表决权委托他人行使；</w:t>
      </w:r>
    </w:p>
    <w:p w14:paraId="6D7B2399"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（四）公司的控制权发生变更。</w:t>
      </w:r>
    </w:p>
    <w:p w14:paraId="28119ECB"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发生前款第四项情形的，上市公司已发行的全部特别表决权股份均应当转换为普通股份。</w:t>
      </w:r>
    </w:p>
    <w:p w14:paraId="47058F1D"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发生本条第一款情形的，特别表决权股份自相关情形发生时即转换为普通股份，相关股东应当立即通知上市公司，上市公司应当及时披露具体情形、发生时间、转换为普通股份的特别表决权股份数量、剩余特别表决权股份数量等情况。</w:t>
      </w:r>
    </w:p>
    <w:p w14:paraId="3B501C4F" w14:textId="77777777" w:rsidR="000C29B8" w:rsidRDefault="00000000">
      <w:pPr>
        <w:numPr>
          <w:ilvl w:val="2"/>
          <w:numId w:val="20"/>
        </w:numPr>
        <w:tabs>
          <w:tab w:val="left" w:pos="0"/>
          <w:tab w:val="left" w:pos="1276"/>
        </w:tabs>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上市公司股东对下列事项行使表决权时，每一特别表决权股份享有的表决权数量应当与每一普通股份的表决权数量相同：</w:t>
      </w:r>
    </w:p>
    <w:p w14:paraId="0B5AD533"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（一）对公司章程</w:t>
      </w:r>
      <w:proofErr w:type="gramStart"/>
      <w:r>
        <w:rPr>
          <w:rFonts w:ascii="仿宋_GB2312" w:eastAsia="仿宋_GB2312" w:hint="eastAsia"/>
          <w:sz w:val="32"/>
          <w:szCs w:val="32"/>
        </w:rPr>
        <w:t>作出</w:t>
      </w:r>
      <w:proofErr w:type="gramEnd"/>
      <w:r>
        <w:rPr>
          <w:rFonts w:ascii="仿宋_GB2312" w:eastAsia="仿宋_GB2312" w:hint="eastAsia"/>
          <w:sz w:val="32"/>
          <w:szCs w:val="32"/>
        </w:rPr>
        <w:t>修改；</w:t>
      </w:r>
    </w:p>
    <w:p w14:paraId="36B1B87B"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（二）改变特别表决权股份享有的表决权数量； </w:t>
      </w:r>
    </w:p>
    <w:p w14:paraId="5AFF0DF0"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（三）聘请或者解聘独立董事；</w:t>
      </w:r>
    </w:p>
    <w:p w14:paraId="05C6A66E"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（四）聘请或者解聘</w:t>
      </w:r>
      <w:r>
        <w:rPr>
          <w:rFonts w:ascii="仿宋_GB2312" w:eastAsia="仿宋_GB2312" w:hAnsi="宋体" w:hint="eastAsia"/>
          <w:sz w:val="32"/>
          <w:szCs w:val="32"/>
        </w:rPr>
        <w:t>为上市公司定期报告出具审计意见的会计师事务所</w:t>
      </w:r>
      <w:r>
        <w:rPr>
          <w:rFonts w:ascii="仿宋_GB2312" w:eastAsia="仿宋_GB2312" w:hint="eastAsia"/>
          <w:sz w:val="32"/>
          <w:szCs w:val="32"/>
        </w:rPr>
        <w:t>；</w:t>
      </w:r>
    </w:p>
    <w:p w14:paraId="30EB6F34"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（五）公司合并、分立、解散或者变更公司形式。</w:t>
      </w:r>
    </w:p>
    <w:p w14:paraId="5315DBEE"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上市公司章程应当规定，股东大会对前款第二项</w:t>
      </w:r>
      <w:proofErr w:type="gramStart"/>
      <w:r>
        <w:rPr>
          <w:rFonts w:ascii="仿宋_GB2312" w:eastAsia="仿宋_GB2312" w:hint="eastAsia"/>
          <w:sz w:val="32"/>
          <w:szCs w:val="32"/>
        </w:rPr>
        <w:t>作出</w:t>
      </w:r>
      <w:proofErr w:type="gramEnd"/>
      <w:r>
        <w:rPr>
          <w:rFonts w:ascii="仿宋_GB2312" w:eastAsia="仿宋_GB2312" w:hint="eastAsia"/>
          <w:sz w:val="32"/>
          <w:szCs w:val="32"/>
        </w:rPr>
        <w:t>决议，应当经过不低于出席会议的股东所持表决权的三分之二以上通过，但根据第4.5.6条、第4.5.9条的规定，将相应数量特别表决权股份转换为普通股份的除外。</w:t>
      </w:r>
    </w:p>
    <w:p w14:paraId="08A32297" w14:textId="77777777" w:rsidR="000C29B8" w:rsidRDefault="00000000">
      <w:pPr>
        <w:numPr>
          <w:ilvl w:val="2"/>
          <w:numId w:val="20"/>
        </w:numPr>
        <w:tabs>
          <w:tab w:val="left" w:pos="0"/>
          <w:tab w:val="left" w:pos="1276"/>
        </w:tabs>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上市公司具有表决权差异安排的，应当在定期报告中披露该等安排在报告期内的实施和变化情况，以及该等安排下保护投资者合法权益有关措施的实施情况。</w:t>
      </w:r>
    </w:p>
    <w:p w14:paraId="7572A842" w14:textId="77777777" w:rsidR="000C29B8" w:rsidRDefault="0000000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前款规定事项出现重大变化或者调整的，公司和相关信息披露义务人应当及时予以披露。</w:t>
      </w:r>
    </w:p>
    <w:p w14:paraId="4AADEF07" w14:textId="77777777" w:rsidR="000C29B8" w:rsidRDefault="0000000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上市公司应当在股东大会通知中列明持有特别表决权股份的股东、所持特别表决权股份数量及对应的表决权数量、股东大会议案是否涉及第4.5.10条规定事项等情况。</w:t>
      </w:r>
    </w:p>
    <w:p w14:paraId="0DB7AD8C" w14:textId="77777777" w:rsidR="000C29B8" w:rsidRDefault="00000000">
      <w:pPr>
        <w:numPr>
          <w:ilvl w:val="2"/>
          <w:numId w:val="20"/>
        </w:numPr>
        <w:tabs>
          <w:tab w:val="left" w:pos="0"/>
          <w:tab w:val="left" w:pos="1276"/>
        </w:tabs>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上市公司具有表决权差异安排的，监事会应当在年度报告中，就下列事项出具专项意见：</w:t>
      </w:r>
    </w:p>
    <w:p w14:paraId="5A898AB5" w14:textId="77777777" w:rsidR="000C29B8" w:rsidRDefault="00000000">
      <w:pPr>
        <w:tabs>
          <w:tab w:val="left" w:pos="1276"/>
          <w:tab w:val="left" w:pos="1418"/>
        </w:tabs>
        <w:snapToGrid w:val="0"/>
        <w:spacing w:line="560" w:lineRule="exact"/>
        <w:rPr>
          <w:rFonts w:ascii="仿宋_GB2312" w:eastAsia="仿宋_GB2312"/>
          <w:sz w:val="32"/>
          <w:szCs w:val="32"/>
        </w:rPr>
      </w:pPr>
      <w:r>
        <w:rPr>
          <w:rFonts w:ascii="仿宋_GB2312" w:eastAsia="仿宋_GB2312" w:hint="eastAsia"/>
          <w:sz w:val="32"/>
          <w:szCs w:val="32"/>
        </w:rPr>
        <w:t xml:space="preserve">    （一）持有特别表决权股份的股东是否持续符合本</w:t>
      </w:r>
      <w:proofErr w:type="gramStart"/>
      <w:r>
        <w:rPr>
          <w:rFonts w:ascii="仿宋_GB2312" w:eastAsia="仿宋_GB2312" w:hint="eastAsia"/>
          <w:sz w:val="32"/>
          <w:szCs w:val="32"/>
        </w:rPr>
        <w:t>规则第4</w:t>
      </w:r>
      <w:proofErr w:type="gramEnd"/>
      <w:r>
        <w:rPr>
          <w:rFonts w:ascii="仿宋_GB2312" w:eastAsia="仿宋_GB2312" w:hint="eastAsia"/>
          <w:sz w:val="32"/>
          <w:szCs w:val="32"/>
        </w:rPr>
        <w:t>.5.3条的要求；</w:t>
      </w:r>
    </w:p>
    <w:p w14:paraId="699B1A18" w14:textId="77777777" w:rsidR="000C29B8" w:rsidRDefault="00000000">
      <w:pPr>
        <w:tabs>
          <w:tab w:val="left" w:pos="1276"/>
          <w:tab w:val="left" w:pos="1418"/>
        </w:tabs>
        <w:snapToGrid w:val="0"/>
        <w:spacing w:line="560" w:lineRule="exact"/>
        <w:ind w:firstLine="640"/>
        <w:rPr>
          <w:rFonts w:ascii="仿宋_GB2312" w:eastAsia="仿宋_GB2312"/>
          <w:sz w:val="32"/>
          <w:szCs w:val="32"/>
        </w:rPr>
      </w:pPr>
      <w:r>
        <w:rPr>
          <w:rFonts w:ascii="仿宋_GB2312" w:eastAsia="仿宋_GB2312" w:hint="eastAsia"/>
          <w:sz w:val="32"/>
          <w:szCs w:val="32"/>
        </w:rPr>
        <w:t>（二）特别表决权股份是否出现本</w:t>
      </w:r>
      <w:proofErr w:type="gramStart"/>
      <w:r>
        <w:rPr>
          <w:rFonts w:ascii="仿宋_GB2312" w:eastAsia="仿宋_GB2312" w:hint="eastAsia"/>
          <w:sz w:val="32"/>
          <w:szCs w:val="32"/>
        </w:rPr>
        <w:t>规则第4</w:t>
      </w:r>
      <w:proofErr w:type="gramEnd"/>
      <w:r>
        <w:rPr>
          <w:rFonts w:ascii="仿宋_GB2312" w:eastAsia="仿宋_GB2312" w:hint="eastAsia"/>
          <w:sz w:val="32"/>
          <w:szCs w:val="32"/>
        </w:rPr>
        <w:t>.5.9条规定的情形并及时转换为普通股份；</w:t>
      </w:r>
    </w:p>
    <w:p w14:paraId="7E44EA79" w14:textId="77777777" w:rsidR="000C29B8" w:rsidRDefault="00000000">
      <w:pPr>
        <w:tabs>
          <w:tab w:val="left" w:pos="1276"/>
          <w:tab w:val="left" w:pos="1418"/>
        </w:tabs>
        <w:snapToGrid w:val="0"/>
        <w:spacing w:line="560" w:lineRule="exact"/>
        <w:ind w:firstLine="640"/>
        <w:rPr>
          <w:rFonts w:ascii="仿宋_GB2312" w:eastAsia="仿宋_GB2312"/>
          <w:sz w:val="32"/>
          <w:szCs w:val="32"/>
        </w:rPr>
      </w:pPr>
      <w:r>
        <w:rPr>
          <w:rFonts w:ascii="仿宋_GB2312" w:eastAsia="仿宋_GB2312" w:hint="eastAsia"/>
          <w:sz w:val="32"/>
          <w:szCs w:val="32"/>
        </w:rPr>
        <w:t>（三）上市公司特别表决权比例是否持续符合本规则的规定；</w:t>
      </w:r>
    </w:p>
    <w:p w14:paraId="34E42968" w14:textId="77777777" w:rsidR="000C29B8" w:rsidRDefault="00000000">
      <w:pPr>
        <w:tabs>
          <w:tab w:val="left" w:pos="1276"/>
          <w:tab w:val="left" w:pos="1418"/>
        </w:tabs>
        <w:snapToGrid w:val="0"/>
        <w:spacing w:line="560" w:lineRule="exact"/>
        <w:ind w:firstLine="640"/>
        <w:rPr>
          <w:rFonts w:ascii="仿宋_GB2312" w:eastAsia="仿宋_GB2312"/>
          <w:sz w:val="32"/>
          <w:szCs w:val="32"/>
        </w:rPr>
      </w:pPr>
      <w:r>
        <w:rPr>
          <w:rFonts w:ascii="仿宋_GB2312" w:eastAsia="仿宋_GB2312" w:hint="eastAsia"/>
          <w:sz w:val="32"/>
          <w:szCs w:val="32"/>
        </w:rPr>
        <w:t>（四）持有特别表决权股份的股东是否存在滥用特别表决权或者其他损害投资者合法权益的情形；</w:t>
      </w:r>
    </w:p>
    <w:p w14:paraId="30154197" w14:textId="77777777" w:rsidR="000C29B8" w:rsidRDefault="00000000">
      <w:pPr>
        <w:tabs>
          <w:tab w:val="left" w:pos="1276"/>
          <w:tab w:val="left" w:pos="1418"/>
        </w:tabs>
        <w:snapToGrid w:val="0"/>
        <w:spacing w:line="560" w:lineRule="exact"/>
        <w:ind w:firstLine="640"/>
        <w:rPr>
          <w:rFonts w:ascii="仿宋_GB2312" w:eastAsia="仿宋_GB2312"/>
          <w:sz w:val="32"/>
          <w:szCs w:val="32"/>
        </w:rPr>
      </w:pPr>
      <w:r>
        <w:rPr>
          <w:rFonts w:ascii="仿宋_GB2312" w:eastAsia="仿宋_GB2312" w:hint="eastAsia"/>
          <w:sz w:val="32"/>
          <w:szCs w:val="32"/>
        </w:rPr>
        <w:t>（五）公司及持有特别表决权股份的股东遵守本章其他规定的情况。</w:t>
      </w:r>
    </w:p>
    <w:p w14:paraId="3A820A48" w14:textId="77777777" w:rsidR="000C29B8" w:rsidRDefault="00000000">
      <w:pPr>
        <w:numPr>
          <w:ilvl w:val="2"/>
          <w:numId w:val="20"/>
        </w:numPr>
        <w:tabs>
          <w:tab w:val="left" w:pos="0"/>
          <w:tab w:val="left" w:pos="1276"/>
        </w:tabs>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持有特别表决权股份的股东应当按照所适用的法律法规以及公司章程行使权利，不得滥用特别表决权，不得利用特别表决权损害投资者的合法权益。</w:t>
      </w:r>
    </w:p>
    <w:p w14:paraId="29D1507D" w14:textId="77777777" w:rsidR="000C29B8" w:rsidRDefault="00000000">
      <w:pPr>
        <w:tabs>
          <w:tab w:val="left" w:pos="1276"/>
          <w:tab w:val="left" w:pos="1418"/>
        </w:tabs>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出现前款情形，损害投资者合法权益的，本所可以要求公司或者持有特别表决权股份的股东予以改正。</w:t>
      </w:r>
    </w:p>
    <w:p w14:paraId="5E098734" w14:textId="77777777" w:rsidR="000C29B8" w:rsidRDefault="00000000">
      <w:pPr>
        <w:numPr>
          <w:ilvl w:val="2"/>
          <w:numId w:val="20"/>
        </w:numPr>
        <w:tabs>
          <w:tab w:val="left" w:pos="0"/>
          <w:tab w:val="left" w:pos="1276"/>
        </w:tabs>
        <w:snapToGrid w:val="0"/>
        <w:spacing w:line="560" w:lineRule="exact"/>
        <w:ind w:left="0" w:firstLineChars="200" w:firstLine="640"/>
        <w:rPr>
          <w:sz w:val="32"/>
          <w:szCs w:val="32"/>
        </w:rPr>
      </w:pPr>
      <w:r>
        <w:rPr>
          <w:rFonts w:ascii="仿宋_GB2312" w:eastAsia="仿宋_GB2312" w:hAnsi="黑体" w:hint="eastAsia"/>
          <w:sz w:val="32"/>
          <w:szCs w:val="32"/>
        </w:rPr>
        <w:t>上市公司或者持有特别表决权股份的股东应当按照本所及中国结算的有关规定，办理特别表决权股份登记和转换成普通股份登记事宜。</w:t>
      </w:r>
    </w:p>
    <w:p w14:paraId="2E94ADC8" w14:textId="77777777" w:rsidR="000C29B8" w:rsidRDefault="000C29B8">
      <w:pPr>
        <w:tabs>
          <w:tab w:val="left" w:pos="1276"/>
          <w:tab w:val="left" w:pos="1418"/>
        </w:tabs>
        <w:snapToGrid w:val="0"/>
        <w:spacing w:line="560" w:lineRule="exact"/>
        <w:rPr>
          <w:sz w:val="32"/>
          <w:szCs w:val="32"/>
        </w:rPr>
      </w:pPr>
    </w:p>
    <w:p w14:paraId="18DBADF8" w14:textId="77777777" w:rsidR="000C29B8" w:rsidRDefault="00000000">
      <w:pPr>
        <w:pStyle w:val="6"/>
        <w:rPr>
          <w:b/>
        </w:rPr>
      </w:pPr>
      <w:bookmarkStart w:id="100" w:name="_Toc144"/>
      <w:r>
        <w:rPr>
          <w:rFonts w:hint="eastAsia"/>
        </w:rPr>
        <w:lastRenderedPageBreak/>
        <w:t>信息披露一般规定</w:t>
      </w:r>
      <w:bookmarkEnd w:id="100"/>
    </w:p>
    <w:p w14:paraId="3EADD48B" w14:textId="77777777" w:rsidR="000C29B8" w:rsidRDefault="00000000">
      <w:pPr>
        <w:pStyle w:val="23"/>
        <w:numPr>
          <w:ilvl w:val="1"/>
          <w:numId w:val="1"/>
        </w:numPr>
        <w:ind w:left="0" w:firstLine="643"/>
      </w:pPr>
      <w:bookmarkStart w:id="101" w:name="_Toc2207"/>
      <w:r>
        <w:rPr>
          <w:rFonts w:hint="eastAsia"/>
        </w:rPr>
        <w:t>信息披露基本原则</w:t>
      </w:r>
      <w:bookmarkEnd w:id="101"/>
    </w:p>
    <w:p w14:paraId="2DBF9CFB" w14:textId="77777777" w:rsidR="000C29B8" w:rsidRDefault="00000000">
      <w:pPr>
        <w:numPr>
          <w:ilvl w:val="1"/>
          <w:numId w:val="21"/>
        </w:numPr>
        <w:tabs>
          <w:tab w:val="clear" w:pos="992"/>
          <w:tab w:val="left" w:pos="1080"/>
          <w:tab w:val="left" w:pos="1560"/>
        </w:tabs>
        <w:autoSpaceDE w:val="0"/>
        <w:autoSpaceDN w:val="0"/>
        <w:adjustRightInd w:val="0"/>
        <w:snapToGrid w:val="0"/>
        <w:spacing w:line="560" w:lineRule="exact"/>
        <w:ind w:left="0" w:firstLineChars="200" w:firstLine="640"/>
        <w:rPr>
          <w:rFonts w:ascii="仿宋_GB2312" w:eastAsia="仿宋_GB2312"/>
          <w:bCs/>
          <w:sz w:val="32"/>
          <w:szCs w:val="32"/>
        </w:rPr>
      </w:pPr>
      <w:r>
        <w:rPr>
          <w:rFonts w:ascii="仿宋_GB2312" w:eastAsia="仿宋_GB2312" w:hint="eastAsia"/>
          <w:sz w:val="32"/>
          <w:szCs w:val="32"/>
        </w:rPr>
        <w:t>上市公司和相关信息披露义务人应当披露所有可能对上市公司股票交易价格产生较大影响或者对投资决策有较大影响的事项（以下简称重大事件或者重大事项）。</w:t>
      </w:r>
    </w:p>
    <w:p w14:paraId="2AF623C6" w14:textId="77777777" w:rsidR="000C29B8" w:rsidRDefault="00000000">
      <w:pPr>
        <w:numPr>
          <w:ilvl w:val="1"/>
          <w:numId w:val="21"/>
        </w:numPr>
        <w:tabs>
          <w:tab w:val="clear" w:pos="992"/>
          <w:tab w:val="left" w:pos="108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上市公司和相关信息披露义务人应当及时、公平地披露信息，保证所披露信息的真实、准确、完整。</w:t>
      </w:r>
    </w:p>
    <w:p w14:paraId="3FC72D8F" w14:textId="77777777" w:rsidR="000C29B8" w:rsidRDefault="00000000">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上市公司的董事、监事、高级管理人员应当保证公司及时、公平地披露信息，以及信息披露内容的真实、准确、完整，不存在虚假记载、误导性陈述或者重大遗漏。董事、监事、高级管理人员对公告内容存在异议的，应当在公告中</w:t>
      </w:r>
      <w:proofErr w:type="gramStart"/>
      <w:r>
        <w:rPr>
          <w:rFonts w:ascii="仿宋_GB2312" w:eastAsia="仿宋_GB2312" w:hint="eastAsia"/>
          <w:sz w:val="32"/>
          <w:szCs w:val="32"/>
        </w:rPr>
        <w:t>作出</w:t>
      </w:r>
      <w:proofErr w:type="gramEnd"/>
      <w:r>
        <w:rPr>
          <w:rFonts w:ascii="仿宋_GB2312" w:eastAsia="仿宋_GB2312" w:hint="eastAsia"/>
          <w:sz w:val="32"/>
          <w:szCs w:val="32"/>
        </w:rPr>
        <w:t>相应声明并说明理由。</w:t>
      </w:r>
    </w:p>
    <w:p w14:paraId="572B9D7E" w14:textId="77777777" w:rsidR="000C29B8" w:rsidRDefault="00000000">
      <w:pPr>
        <w:numPr>
          <w:ilvl w:val="1"/>
          <w:numId w:val="21"/>
        </w:numPr>
        <w:tabs>
          <w:tab w:val="clear" w:pos="992"/>
          <w:tab w:val="left" w:pos="1080"/>
        </w:tabs>
        <w:autoSpaceDE w:val="0"/>
        <w:autoSpaceDN w:val="0"/>
        <w:adjustRightInd w:val="0"/>
        <w:snapToGrid w:val="0"/>
        <w:spacing w:line="560" w:lineRule="exact"/>
        <w:ind w:left="0" w:firstLineChars="200" w:firstLine="640"/>
        <w:rPr>
          <w:rFonts w:ascii="仿宋_GB2312" w:eastAsia="仿宋_GB2312"/>
          <w:bCs/>
          <w:sz w:val="32"/>
          <w:szCs w:val="32"/>
        </w:rPr>
      </w:pPr>
      <w:r>
        <w:rPr>
          <w:rFonts w:ascii="仿宋_GB2312" w:eastAsia="仿宋_GB2312" w:hint="eastAsia"/>
          <w:sz w:val="32"/>
          <w:szCs w:val="32"/>
        </w:rPr>
        <w:t>上市公司和相关信息披露义务人披露信息，应当以客观事实或者具有事实基础的判断和意见为依据，如实反映实际情况，不得有虚假记载。</w:t>
      </w:r>
    </w:p>
    <w:p w14:paraId="3F45BCBF" w14:textId="77777777" w:rsidR="000C29B8" w:rsidRDefault="00000000">
      <w:pPr>
        <w:numPr>
          <w:ilvl w:val="1"/>
          <w:numId w:val="21"/>
        </w:numPr>
        <w:tabs>
          <w:tab w:val="clear" w:pos="992"/>
          <w:tab w:val="left" w:pos="108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上市公司和相关信息披露义务人披露信息，应当客观，不得夸大其辞，不得有误导性陈述。</w:t>
      </w:r>
    </w:p>
    <w:p w14:paraId="7166BA49" w14:textId="77777777" w:rsidR="000C29B8" w:rsidRDefault="00000000">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披露未来经营和财务状况等预测性信息的，应当合理、谨慎、客观。</w:t>
      </w:r>
    </w:p>
    <w:p w14:paraId="0D0566A1" w14:textId="77777777" w:rsidR="000C29B8" w:rsidRDefault="00000000">
      <w:pPr>
        <w:numPr>
          <w:ilvl w:val="1"/>
          <w:numId w:val="21"/>
        </w:numPr>
        <w:tabs>
          <w:tab w:val="clear" w:pos="992"/>
          <w:tab w:val="left" w:pos="108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 xml:space="preserve">上市公司和相关信息披露义务人披露信息，应当内容完整，充分披露对上市公司有重大影响的信息，揭示可能产生的重大风险，不得有选择地披露部分信息，不得有重大遗漏。  </w:t>
      </w:r>
    </w:p>
    <w:p w14:paraId="233ED561" w14:textId="77777777" w:rsidR="000C29B8" w:rsidRDefault="00000000">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信息披露文件应当材料齐备，格式符合规定要求。</w:t>
      </w:r>
    </w:p>
    <w:p w14:paraId="3C8CA821" w14:textId="77777777" w:rsidR="000C29B8" w:rsidRDefault="00000000">
      <w:pPr>
        <w:numPr>
          <w:ilvl w:val="1"/>
          <w:numId w:val="21"/>
        </w:numPr>
        <w:tabs>
          <w:tab w:val="clear" w:pos="992"/>
          <w:tab w:val="left" w:pos="108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lastRenderedPageBreak/>
        <w:t>上市公司和相关信息披露义务人应当同时向所有投资者公开披露重大信息，确保所有投资者可以平等获取信息，不得向单个或部分投资者透露或泄露。</w:t>
      </w:r>
    </w:p>
    <w:p w14:paraId="7B1AD52C" w14:textId="77777777" w:rsidR="000C29B8" w:rsidRDefault="00000000">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上市公司和相关信息披露义务人通过业绩说明会、分析师会议、路演、接受投资者调研等形式，与任何机构和个人进行沟通时，不得提供公司尚未披露的重大信息。</w:t>
      </w:r>
    </w:p>
    <w:p w14:paraId="4F70FB5C" w14:textId="77777777" w:rsidR="000C29B8" w:rsidRDefault="00000000">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上市公司向股东、实际控制人及其他第三方报送文件，涉及尚未公开的重大信息的，应当依照本规则披露。</w:t>
      </w:r>
    </w:p>
    <w:p w14:paraId="3C67D45C" w14:textId="77777777" w:rsidR="000C29B8" w:rsidRDefault="00000000">
      <w:pPr>
        <w:numPr>
          <w:ilvl w:val="1"/>
          <w:numId w:val="21"/>
        </w:numPr>
        <w:tabs>
          <w:tab w:val="clear" w:pos="992"/>
          <w:tab w:val="left" w:pos="1080"/>
        </w:tabs>
        <w:autoSpaceDE w:val="0"/>
        <w:autoSpaceDN w:val="0"/>
        <w:adjustRightInd w:val="0"/>
        <w:snapToGrid w:val="0"/>
        <w:spacing w:line="560" w:lineRule="exact"/>
        <w:ind w:left="0" w:firstLineChars="200" w:firstLine="640"/>
        <w:rPr>
          <w:rFonts w:ascii="仿宋_GB2312" w:eastAsia="仿宋_GB2312"/>
          <w:sz w:val="32"/>
          <w:szCs w:val="32"/>
        </w:rPr>
      </w:pPr>
      <w:bookmarkStart w:id="102" w:name="OLE_LINK1"/>
      <w:r>
        <w:rPr>
          <w:rFonts w:ascii="仿宋_GB2312" w:eastAsia="仿宋_GB2312" w:hint="eastAsia"/>
          <w:sz w:val="32"/>
          <w:szCs w:val="32"/>
        </w:rPr>
        <w:t>出现下列情形之一的，上市公司和相关信息披露义务人应当及时披露重大事项：</w:t>
      </w:r>
    </w:p>
    <w:p w14:paraId="764AA263" w14:textId="77777777" w:rsidR="000C29B8" w:rsidRDefault="00000000">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（一）董事会或者监事会已就该重大事项形成决议；</w:t>
      </w:r>
    </w:p>
    <w:p w14:paraId="2844AF6B" w14:textId="77777777" w:rsidR="000C29B8" w:rsidRDefault="00000000">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（二）有关各方已就该重大事项签署意向书或者协议；</w:t>
      </w:r>
    </w:p>
    <w:p w14:paraId="6E0A74A9" w14:textId="77777777" w:rsidR="000C29B8" w:rsidRDefault="00000000">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（三）董事、监事或者高级管理人员已知悉该重大事项；</w:t>
      </w:r>
    </w:p>
    <w:p w14:paraId="222A5A9A" w14:textId="77777777" w:rsidR="000C29B8" w:rsidRDefault="00000000">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（四）其他发生重大事项的情形。</w:t>
      </w:r>
    </w:p>
    <w:p w14:paraId="4DE28C4D" w14:textId="77777777" w:rsidR="000C29B8" w:rsidRDefault="00000000">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上市公司筹划的重大事项存在较大不确定性，立即披露可能会损害公司利益或者误导投资者，且有关内幕信息知情人已书面承诺保密的，公司可以暂不披露，但最迟应当在该重大事项形成最终决议、签署最终协议、交易确定能够达成时对外披露。</w:t>
      </w:r>
    </w:p>
    <w:bookmarkEnd w:id="102"/>
    <w:p w14:paraId="072D5552" w14:textId="77777777" w:rsidR="000C29B8" w:rsidRDefault="00000000">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相关信息确实难以保密、已经泄露或者出现市场传闻，导致公司股票交易价格发生大幅波动的，公司应当立即披露相关筹划和进展情况。</w:t>
      </w:r>
    </w:p>
    <w:p w14:paraId="712EDB1D" w14:textId="77777777" w:rsidR="000C29B8" w:rsidRDefault="00000000">
      <w:pPr>
        <w:pStyle w:val="23"/>
        <w:numPr>
          <w:ilvl w:val="1"/>
          <w:numId w:val="1"/>
        </w:numPr>
        <w:ind w:left="0" w:firstLine="643"/>
      </w:pPr>
      <w:bookmarkStart w:id="103" w:name="_Toc21695"/>
      <w:r>
        <w:rPr>
          <w:rFonts w:hint="eastAsia"/>
        </w:rPr>
        <w:t>信息披露一般要求</w:t>
      </w:r>
      <w:bookmarkEnd w:id="103"/>
    </w:p>
    <w:p w14:paraId="2D98EDCF" w14:textId="77777777" w:rsidR="000C29B8" w:rsidRDefault="00000000">
      <w:pPr>
        <w:numPr>
          <w:ilvl w:val="1"/>
          <w:numId w:val="22"/>
        </w:numPr>
        <w:tabs>
          <w:tab w:val="left" w:pos="108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上市公司应当披露能够充分反映公司业务、技术、</w:t>
      </w:r>
      <w:r>
        <w:rPr>
          <w:rFonts w:ascii="仿宋_GB2312" w:eastAsia="仿宋_GB2312" w:hint="eastAsia"/>
          <w:sz w:val="32"/>
          <w:szCs w:val="32"/>
        </w:rPr>
        <w:lastRenderedPageBreak/>
        <w:t>财务、公司治理、竞争优势、行业趋势、产业政策等方面的重大信息，充分揭示上市公司的风险因素和投资价值，便于投资者合理决策。</w:t>
      </w:r>
    </w:p>
    <w:p w14:paraId="5EE7E4DB" w14:textId="77777777" w:rsidR="000C29B8" w:rsidRDefault="00000000">
      <w:pPr>
        <w:numPr>
          <w:ilvl w:val="1"/>
          <w:numId w:val="22"/>
        </w:numPr>
        <w:tabs>
          <w:tab w:val="left" w:pos="108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上市公司应当对业绩波动、行业风险、公司治理等相关事项进行针对性信息披露，并持续披露科研水平、科研人员、科研资金投入、募集资金重点投向领域等重大信息。</w:t>
      </w:r>
    </w:p>
    <w:p w14:paraId="01438A6B" w14:textId="77777777" w:rsidR="000C29B8" w:rsidRDefault="00000000">
      <w:pPr>
        <w:numPr>
          <w:ilvl w:val="1"/>
          <w:numId w:val="22"/>
        </w:numPr>
        <w:tabs>
          <w:tab w:val="left" w:pos="108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上市公司筹划重大事项，持续时间较长的，应当按照重大性原则，分阶段披露进展情况，及时提示相关风险，不得仅以相关事项结果尚不确定为由不予披露。</w:t>
      </w:r>
    </w:p>
    <w:p w14:paraId="1721CAB8" w14:textId="77777777" w:rsidR="000C29B8" w:rsidRDefault="00000000">
      <w:pPr>
        <w:numPr>
          <w:ilvl w:val="1"/>
          <w:numId w:val="22"/>
        </w:numPr>
        <w:tabs>
          <w:tab w:val="left" w:pos="108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上市公司和相关信息披露义务人认为相关信息可能影响公司股票交易价格或者有助于投资者决策，但不属于本规则要求披露的信息，可以自愿披露。</w:t>
      </w:r>
    </w:p>
    <w:p w14:paraId="066AAFE4" w14:textId="77777777" w:rsidR="000C29B8" w:rsidRDefault="00000000">
      <w:pPr>
        <w:tabs>
          <w:tab w:val="left" w:pos="1080"/>
        </w:tabs>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上市公司和相关信息披露义务人自愿披露信息，应当审慎、客观，不得利用该等信息不当影响公司股票交易价格、从事内幕交易或者其他违法违规行为。</w:t>
      </w:r>
    </w:p>
    <w:p w14:paraId="45EA81E7" w14:textId="77777777" w:rsidR="000C29B8" w:rsidRDefault="00000000">
      <w:pPr>
        <w:tabs>
          <w:tab w:val="left" w:pos="1080"/>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上市公司和相关信息披露义务人按照本条披露信息的，在发生类似事件时，应当按照同一标准予以披露，避免选择性信息披露。</w:t>
      </w:r>
    </w:p>
    <w:p w14:paraId="5086425D" w14:textId="77777777" w:rsidR="000C29B8" w:rsidRDefault="00000000">
      <w:pPr>
        <w:numPr>
          <w:ilvl w:val="1"/>
          <w:numId w:val="22"/>
        </w:numPr>
        <w:tabs>
          <w:tab w:val="clear" w:pos="992"/>
          <w:tab w:val="left" w:pos="0"/>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int="eastAsia"/>
          <w:sz w:val="32"/>
          <w:szCs w:val="32"/>
        </w:rPr>
        <w:t>上市公司的公告文稿应当重点突出、逻辑清晰、语言浅白、简明易懂，避免使用大量专业术语、过于晦涩的表达方式和外文及其缩写，避免模糊、模板化和冗余重复的信息，不得含有祝贺、宣传、广告、恭维、诋毁等性质的词语。</w:t>
      </w:r>
    </w:p>
    <w:p w14:paraId="49ACB7DC" w14:textId="77777777" w:rsidR="000C29B8" w:rsidRDefault="00000000">
      <w:pPr>
        <w:tabs>
          <w:tab w:val="left" w:pos="1080"/>
        </w:tabs>
        <w:autoSpaceDE w:val="0"/>
        <w:autoSpaceDN w:val="0"/>
        <w:snapToGrid w:val="0"/>
        <w:spacing w:line="560" w:lineRule="exact"/>
        <w:ind w:firstLineChars="200" w:firstLine="640"/>
        <w:rPr>
          <w:rFonts w:ascii="仿宋_GB2312" w:eastAsia="仿宋_GB2312" w:hAnsi="宋体"/>
          <w:sz w:val="32"/>
          <w:szCs w:val="32"/>
        </w:rPr>
      </w:pPr>
      <w:r>
        <w:rPr>
          <w:rFonts w:ascii="仿宋_GB2312" w:eastAsia="仿宋_GB2312" w:hint="eastAsia"/>
          <w:sz w:val="32"/>
          <w:szCs w:val="32"/>
        </w:rPr>
        <w:t>公告文稿</w:t>
      </w:r>
      <w:r>
        <w:rPr>
          <w:rFonts w:ascii="仿宋_GB2312" w:eastAsia="仿宋_GB2312" w:hAnsi="宋体" w:hint="eastAsia"/>
          <w:sz w:val="32"/>
          <w:szCs w:val="32"/>
        </w:rPr>
        <w:t>应当采用中文文本，同时采用外文文本的，应</w:t>
      </w:r>
      <w:r>
        <w:rPr>
          <w:rFonts w:ascii="仿宋_GB2312" w:eastAsia="仿宋_GB2312" w:hAnsi="宋体" w:hint="eastAsia"/>
          <w:sz w:val="32"/>
          <w:szCs w:val="32"/>
        </w:rPr>
        <w:lastRenderedPageBreak/>
        <w:t>当保证两种文本内容的一致。两种文本不一致的，以中文文本为准。</w:t>
      </w:r>
    </w:p>
    <w:p w14:paraId="0216571B" w14:textId="77777777" w:rsidR="000C29B8" w:rsidRDefault="00000000">
      <w:pPr>
        <w:numPr>
          <w:ilvl w:val="1"/>
          <w:numId w:val="22"/>
        </w:numPr>
        <w:tabs>
          <w:tab w:val="clear" w:pos="992"/>
          <w:tab w:val="left" w:pos="0"/>
        </w:tabs>
        <w:autoSpaceDE w:val="0"/>
        <w:autoSpaceDN w:val="0"/>
        <w:adjustRightInd w:val="0"/>
        <w:snapToGrid w:val="0"/>
        <w:spacing w:line="560" w:lineRule="exact"/>
        <w:ind w:left="0" w:firstLineChars="200" w:firstLine="640"/>
        <w:rPr>
          <w:rFonts w:ascii="仿宋_GB2312" w:eastAsia="仿宋_GB2312"/>
          <w:bCs/>
          <w:sz w:val="32"/>
          <w:szCs w:val="32"/>
        </w:rPr>
      </w:pPr>
      <w:r>
        <w:rPr>
          <w:rFonts w:ascii="仿宋_GB2312" w:eastAsia="仿宋_GB2312" w:hAnsi="宋体" w:hint="eastAsia"/>
          <w:sz w:val="32"/>
          <w:szCs w:val="32"/>
        </w:rPr>
        <w:t>上市公司合并报表范围内的子公司及其</w:t>
      </w:r>
      <w:proofErr w:type="gramStart"/>
      <w:r>
        <w:rPr>
          <w:rFonts w:ascii="仿宋_GB2312" w:eastAsia="仿宋_GB2312" w:hAnsi="宋体" w:hint="eastAsia"/>
          <w:sz w:val="32"/>
          <w:szCs w:val="32"/>
        </w:rPr>
        <w:t>他主体</w:t>
      </w:r>
      <w:proofErr w:type="gramEnd"/>
      <w:r>
        <w:rPr>
          <w:rFonts w:ascii="仿宋_GB2312" w:eastAsia="仿宋_GB2312" w:hAnsi="宋体" w:hint="eastAsia"/>
          <w:sz w:val="32"/>
          <w:szCs w:val="32"/>
        </w:rPr>
        <w:t>发生本规则规定的重大事项，视同上市公司发生的重大事项，适用本规则。</w:t>
      </w:r>
    </w:p>
    <w:p w14:paraId="2E1854AB" w14:textId="77777777" w:rsidR="000C29B8" w:rsidRDefault="00000000">
      <w:pPr>
        <w:tabs>
          <w:tab w:val="left" w:pos="1080"/>
        </w:tabs>
        <w:autoSpaceDE w:val="0"/>
        <w:autoSpaceDN w:val="0"/>
        <w:adjustRightInd w:val="0"/>
        <w:snapToGrid w:val="0"/>
        <w:spacing w:line="560" w:lineRule="exact"/>
        <w:ind w:firstLineChars="200" w:firstLine="640"/>
        <w:rPr>
          <w:rFonts w:ascii="仿宋_GB2312" w:eastAsia="仿宋_GB2312"/>
          <w:bCs/>
          <w:sz w:val="32"/>
          <w:szCs w:val="32"/>
        </w:rPr>
      </w:pPr>
      <w:r>
        <w:rPr>
          <w:rFonts w:ascii="仿宋_GB2312" w:eastAsia="仿宋_GB2312" w:hint="eastAsia"/>
          <w:bCs/>
          <w:sz w:val="32"/>
          <w:szCs w:val="32"/>
        </w:rPr>
        <w:t>上市公司参股公司发生本规则规定的重大事项，可能对上市公司股票交易价格产生较大影响的，上市公司应当参照适用本规则履行信息披露义务。</w:t>
      </w:r>
    </w:p>
    <w:p w14:paraId="7674DDE4" w14:textId="77777777" w:rsidR="000C29B8" w:rsidRDefault="00000000">
      <w:pPr>
        <w:numPr>
          <w:ilvl w:val="1"/>
          <w:numId w:val="22"/>
        </w:numPr>
        <w:tabs>
          <w:tab w:val="left" w:pos="1080"/>
        </w:tabs>
        <w:autoSpaceDE w:val="0"/>
        <w:autoSpaceDN w:val="0"/>
        <w:adjustRightInd w:val="0"/>
        <w:snapToGrid w:val="0"/>
        <w:spacing w:line="560" w:lineRule="exact"/>
        <w:ind w:left="0" w:firstLineChars="200" w:firstLine="640"/>
        <w:rPr>
          <w:rFonts w:ascii="仿宋_GB2312" w:eastAsia="仿宋_GB2312"/>
          <w:bCs/>
          <w:sz w:val="32"/>
          <w:szCs w:val="32"/>
        </w:rPr>
      </w:pPr>
      <w:r>
        <w:rPr>
          <w:rFonts w:ascii="仿宋_GB2312" w:eastAsia="仿宋_GB2312" w:hint="eastAsia"/>
          <w:bCs/>
          <w:sz w:val="32"/>
          <w:szCs w:val="32"/>
        </w:rPr>
        <w:t>上市公司和相关信息披露义务人拟披露的信息属于商业秘密、商业敏感信息，按照本规则披露或者履行相关义务可能引致不当竞争、损害公司及投资者利益或者误导投资者的，可以按照本所相关规定暂缓或者豁免披露该信息。</w:t>
      </w:r>
    </w:p>
    <w:p w14:paraId="7C716664" w14:textId="77777777" w:rsidR="000C29B8" w:rsidRDefault="00000000">
      <w:pPr>
        <w:tabs>
          <w:tab w:val="left" w:pos="1080"/>
        </w:tabs>
        <w:autoSpaceDE w:val="0"/>
        <w:autoSpaceDN w:val="0"/>
        <w:adjustRightInd w:val="0"/>
        <w:snapToGrid w:val="0"/>
        <w:spacing w:line="560" w:lineRule="exact"/>
        <w:ind w:firstLineChars="200" w:firstLine="640"/>
        <w:rPr>
          <w:rFonts w:ascii="仿宋_GB2312" w:eastAsia="仿宋_GB2312"/>
          <w:bCs/>
          <w:sz w:val="32"/>
          <w:szCs w:val="32"/>
        </w:rPr>
      </w:pPr>
      <w:r>
        <w:rPr>
          <w:rFonts w:ascii="仿宋_GB2312" w:eastAsia="仿宋_GB2312" w:hint="eastAsia"/>
          <w:bCs/>
          <w:sz w:val="32"/>
          <w:szCs w:val="32"/>
        </w:rPr>
        <w:t>拟披露的信息被依法认定为国家秘密，按本规则披露或者履行相关义务可能导致其违反境内法律法规或危害国家安全的，可以按照本所相关规定豁免披露。</w:t>
      </w:r>
    </w:p>
    <w:p w14:paraId="25720031" w14:textId="77777777" w:rsidR="000C29B8" w:rsidRDefault="00000000">
      <w:pPr>
        <w:tabs>
          <w:tab w:val="left" w:pos="1080"/>
        </w:tabs>
        <w:autoSpaceDE w:val="0"/>
        <w:autoSpaceDN w:val="0"/>
        <w:adjustRightInd w:val="0"/>
        <w:snapToGrid w:val="0"/>
        <w:spacing w:line="560" w:lineRule="exact"/>
        <w:ind w:firstLineChars="200" w:firstLine="640"/>
        <w:rPr>
          <w:rFonts w:ascii="仿宋_GB2312" w:eastAsia="仿宋_GB2312"/>
          <w:bCs/>
          <w:sz w:val="32"/>
          <w:szCs w:val="32"/>
        </w:rPr>
      </w:pPr>
      <w:r>
        <w:rPr>
          <w:rFonts w:ascii="仿宋_GB2312" w:eastAsia="仿宋_GB2312" w:hint="eastAsia"/>
          <w:bCs/>
          <w:sz w:val="32"/>
          <w:szCs w:val="32"/>
        </w:rPr>
        <w:t>上市公司和相关信息披露义务人应当审慎确定信息披露暂缓、豁免事项，不得随意扩大暂缓、豁免事项的范围。暂缓披露的信息已经泄露的，应当及时披露。</w:t>
      </w:r>
    </w:p>
    <w:p w14:paraId="217E2701" w14:textId="77777777" w:rsidR="000C29B8" w:rsidRDefault="00000000">
      <w:pPr>
        <w:numPr>
          <w:ilvl w:val="1"/>
          <w:numId w:val="22"/>
        </w:numPr>
        <w:tabs>
          <w:tab w:val="clear" w:pos="992"/>
          <w:tab w:val="left" w:pos="0"/>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和相关信息披露义务人适用本所相关信息披露要求，可能导致其难以反映经营活动的实际情况、难以符合行业监管要求或者公司注册地有关规定的，可以向本所申请调整适用，但是应当说明原因和替代方案，</w:t>
      </w:r>
      <w:r>
        <w:rPr>
          <w:rFonts w:ascii="仿宋_GB2312" w:eastAsia="仿宋_GB2312" w:hint="eastAsia"/>
          <w:sz w:val="32"/>
          <w:szCs w:val="32"/>
        </w:rPr>
        <w:t>并聘请律师事务所出具法律意见。</w:t>
      </w:r>
    </w:p>
    <w:p w14:paraId="7FAB049C" w14:textId="77777777" w:rsidR="000C29B8" w:rsidRDefault="00000000">
      <w:pPr>
        <w:tabs>
          <w:tab w:val="left" w:pos="0"/>
        </w:tabs>
        <w:autoSpaceDE w:val="0"/>
        <w:autoSpaceDN w:val="0"/>
        <w:adjustRightInd w:val="0"/>
        <w:snapToGrid w:val="0"/>
        <w:spacing w:line="560" w:lineRule="exact"/>
        <w:ind w:firstLineChars="200" w:firstLine="640"/>
        <w:rPr>
          <w:rFonts w:ascii="仿宋_GB2312" w:eastAsia="仿宋_GB2312" w:hAnsi="宋体"/>
          <w:sz w:val="32"/>
          <w:szCs w:val="32"/>
        </w:rPr>
      </w:pPr>
      <w:r>
        <w:rPr>
          <w:rFonts w:ascii="仿宋_GB2312" w:eastAsia="仿宋_GB2312" w:hint="eastAsia"/>
          <w:sz w:val="32"/>
          <w:szCs w:val="32"/>
        </w:rPr>
        <w:t>本所认为不应当调整适用的，上市公司和相关信息披露</w:t>
      </w:r>
      <w:r>
        <w:rPr>
          <w:rFonts w:ascii="仿宋_GB2312" w:eastAsia="仿宋_GB2312" w:hint="eastAsia"/>
          <w:sz w:val="32"/>
          <w:szCs w:val="32"/>
        </w:rPr>
        <w:lastRenderedPageBreak/>
        <w:t>义务人应当执行本所相关规定</w:t>
      </w:r>
      <w:r>
        <w:rPr>
          <w:rFonts w:ascii="仿宋_GB2312" w:eastAsia="仿宋_GB2312" w:hAnsi="宋体" w:hint="eastAsia"/>
          <w:sz w:val="32"/>
          <w:szCs w:val="32"/>
        </w:rPr>
        <w:t>。</w:t>
      </w:r>
    </w:p>
    <w:p w14:paraId="5EDCDE2A" w14:textId="77777777" w:rsidR="000C29B8" w:rsidRDefault="00000000">
      <w:pPr>
        <w:numPr>
          <w:ilvl w:val="1"/>
          <w:numId w:val="22"/>
        </w:numPr>
        <w:tabs>
          <w:tab w:val="left" w:pos="1080"/>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上市公司股票的停牌和</w:t>
      </w:r>
      <w:proofErr w:type="gramStart"/>
      <w:r>
        <w:rPr>
          <w:rFonts w:ascii="仿宋_GB2312" w:eastAsia="仿宋_GB2312" w:hint="eastAsia"/>
          <w:sz w:val="32"/>
          <w:szCs w:val="32"/>
        </w:rPr>
        <w:t>复牌</w:t>
      </w:r>
      <w:proofErr w:type="gramEnd"/>
      <w:r>
        <w:rPr>
          <w:rFonts w:ascii="仿宋_GB2312" w:eastAsia="仿宋_GB2312" w:hint="eastAsia"/>
          <w:sz w:val="32"/>
          <w:szCs w:val="32"/>
        </w:rPr>
        <w:t>，应当遵守本规则及本所相关规定。</w:t>
      </w:r>
      <w:r>
        <w:rPr>
          <w:rFonts w:ascii="仿宋_GB2312" w:eastAsia="仿宋_GB2312" w:hAnsi="Arial Unicode MS" w:cs="Arial Unicode MS" w:hint="eastAsia"/>
          <w:sz w:val="32"/>
          <w:szCs w:val="32"/>
        </w:rPr>
        <w:t>上市公司未按规定申请停牌和</w:t>
      </w:r>
      <w:proofErr w:type="gramStart"/>
      <w:r>
        <w:rPr>
          <w:rFonts w:ascii="仿宋_GB2312" w:eastAsia="仿宋_GB2312" w:hAnsi="Arial Unicode MS" w:cs="Arial Unicode MS" w:hint="eastAsia"/>
          <w:sz w:val="32"/>
          <w:szCs w:val="32"/>
        </w:rPr>
        <w:t>复牌</w:t>
      </w:r>
      <w:proofErr w:type="gramEnd"/>
      <w:r>
        <w:rPr>
          <w:rFonts w:ascii="仿宋_GB2312" w:eastAsia="仿宋_GB2312" w:hAnsi="Arial Unicode MS" w:cs="Arial Unicode MS" w:hint="eastAsia"/>
          <w:sz w:val="32"/>
          <w:szCs w:val="32"/>
        </w:rPr>
        <w:t>的，本所可以决定对公司股票实施停牌和</w:t>
      </w:r>
      <w:proofErr w:type="gramStart"/>
      <w:r>
        <w:rPr>
          <w:rFonts w:ascii="仿宋_GB2312" w:eastAsia="仿宋_GB2312" w:hAnsi="Arial Unicode MS" w:cs="Arial Unicode MS" w:hint="eastAsia"/>
          <w:sz w:val="32"/>
          <w:szCs w:val="32"/>
        </w:rPr>
        <w:t>复牌</w:t>
      </w:r>
      <w:proofErr w:type="gramEnd"/>
      <w:r>
        <w:rPr>
          <w:rFonts w:ascii="仿宋_GB2312" w:eastAsia="仿宋_GB2312" w:hAnsi="Arial Unicode MS" w:cs="Arial Unicode MS" w:hint="eastAsia"/>
          <w:sz w:val="32"/>
          <w:szCs w:val="32"/>
        </w:rPr>
        <w:t>。</w:t>
      </w:r>
    </w:p>
    <w:p w14:paraId="5A43D716"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上市公司筹划重大事项或者具有其他本所认为合理的理由，可以按照相关规定申请对其股票停牌与复牌。</w:t>
      </w:r>
    </w:p>
    <w:p w14:paraId="779F3B0F"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证券市场交易出现极端异常情况的，本所可以根据中国证监会的决定或者市场实际情况，暂停办理上市公司停牌申请，维护市场交易的连续性和流动性，维护投资者正当的交易权利。</w:t>
      </w:r>
    </w:p>
    <w:p w14:paraId="32A9A703" w14:textId="77777777" w:rsidR="000C29B8" w:rsidRDefault="00000000">
      <w:pPr>
        <w:numPr>
          <w:ilvl w:val="1"/>
          <w:numId w:val="22"/>
        </w:numPr>
        <w:tabs>
          <w:tab w:val="left" w:pos="1080"/>
        </w:tabs>
        <w:autoSpaceDE w:val="0"/>
        <w:autoSpaceDN w:val="0"/>
        <w:adjustRightInd w:val="0"/>
        <w:snapToGrid w:val="0"/>
        <w:spacing w:line="560" w:lineRule="exact"/>
        <w:ind w:left="0"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上市公司出现下列情形的，本所可以视情况决定公司股票的停牌和</w:t>
      </w:r>
      <w:proofErr w:type="gramStart"/>
      <w:r>
        <w:rPr>
          <w:rFonts w:ascii="仿宋_GB2312" w:eastAsia="仿宋_GB2312" w:hAnsi="Arial Unicode MS" w:cs="Arial Unicode MS" w:hint="eastAsia"/>
          <w:sz w:val="32"/>
          <w:szCs w:val="32"/>
        </w:rPr>
        <w:t>复牌</w:t>
      </w:r>
      <w:proofErr w:type="gramEnd"/>
      <w:r>
        <w:rPr>
          <w:rFonts w:ascii="仿宋_GB2312" w:eastAsia="仿宋_GB2312" w:hAnsi="Arial Unicode MS" w:cs="Arial Unicode MS" w:hint="eastAsia"/>
          <w:sz w:val="32"/>
          <w:szCs w:val="32"/>
        </w:rPr>
        <w:t>：</w:t>
      </w:r>
    </w:p>
    <w:p w14:paraId="3178DB9B" w14:textId="77777777" w:rsidR="000C29B8" w:rsidRDefault="00000000">
      <w:pPr>
        <w:spacing w:line="560" w:lineRule="exact"/>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 xml:space="preserve">    （一）严重违反法律法规、本规则及本所其他规定，且在规定期限内拒不按要求改正；</w:t>
      </w:r>
    </w:p>
    <w:p w14:paraId="048DA806" w14:textId="77777777" w:rsidR="000C29B8" w:rsidRDefault="00000000">
      <w:pPr>
        <w:spacing w:line="560" w:lineRule="exact"/>
        <w:ind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（二）定期报告或者临时公告披露存在重大遗漏或者误导性陈述，但拒不按照要求就有关内容进行解释或者补充；</w:t>
      </w:r>
    </w:p>
    <w:p w14:paraId="49739212" w14:textId="77777777" w:rsidR="000C29B8" w:rsidRDefault="00000000">
      <w:pPr>
        <w:spacing w:line="560" w:lineRule="exact"/>
        <w:ind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（三）在公司运作和信息披露方面涉嫌违反法律法规、本规则或者本所其他规定，情节严重而被有关部门调查；</w:t>
      </w:r>
    </w:p>
    <w:p w14:paraId="71B7969A"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（四）无法保证与本所的有效联系，或者拒不履行信息披露义务；</w:t>
      </w:r>
    </w:p>
    <w:p w14:paraId="2B197886"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（五）其他本所认为应当停牌或者复牌的情形。</w:t>
      </w:r>
    </w:p>
    <w:p w14:paraId="0B3179C9" w14:textId="77777777" w:rsidR="000C29B8" w:rsidRDefault="00000000">
      <w:pPr>
        <w:numPr>
          <w:ilvl w:val="1"/>
          <w:numId w:val="22"/>
        </w:numPr>
        <w:tabs>
          <w:tab w:val="left" w:pos="1080"/>
        </w:tabs>
        <w:autoSpaceDE w:val="0"/>
        <w:autoSpaceDN w:val="0"/>
        <w:adjustRightInd w:val="0"/>
        <w:snapToGrid w:val="0"/>
        <w:spacing w:line="560" w:lineRule="exact"/>
        <w:ind w:left="0"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上市公司被要约收购的，要约收购期限届满至要约收购结果公告前，公司股票应当停牌。公司股票应当于要约结果公告日复牌。</w:t>
      </w:r>
    </w:p>
    <w:p w14:paraId="0419C3FA" w14:textId="77777777" w:rsidR="000C29B8" w:rsidRDefault="00000000">
      <w:pPr>
        <w:pStyle w:val="23"/>
        <w:numPr>
          <w:ilvl w:val="1"/>
          <w:numId w:val="1"/>
        </w:numPr>
        <w:ind w:left="0" w:firstLine="643"/>
      </w:pPr>
      <w:bookmarkStart w:id="104" w:name="_Toc29603"/>
      <w:r>
        <w:rPr>
          <w:rFonts w:hint="eastAsia"/>
        </w:rPr>
        <w:lastRenderedPageBreak/>
        <w:t>信息披露监管方式</w:t>
      </w:r>
      <w:bookmarkEnd w:id="104"/>
    </w:p>
    <w:p w14:paraId="6B800AE2" w14:textId="77777777" w:rsidR="000C29B8" w:rsidRDefault="00000000">
      <w:pPr>
        <w:numPr>
          <w:ilvl w:val="1"/>
          <w:numId w:val="23"/>
        </w:numPr>
        <w:tabs>
          <w:tab w:val="left" w:pos="1080"/>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本所通过审阅信息披露文件、提出问询等方式，进行信息披露事中事后监管，督促信息披露义务人履行信息披露义务，督促保荐机构、证券服务机构履行职责。</w:t>
      </w:r>
    </w:p>
    <w:p w14:paraId="2A2E81BB" w14:textId="77777777" w:rsidR="000C29B8" w:rsidRDefault="00000000">
      <w:pPr>
        <w:tabs>
          <w:tab w:val="left" w:pos="1080"/>
        </w:tabs>
        <w:autoSpaceDE w:val="0"/>
        <w:autoSpaceDN w:val="0"/>
        <w:adjustRightInd w:val="0"/>
        <w:snapToGrid w:val="0"/>
        <w:spacing w:line="560" w:lineRule="exact"/>
        <w:rPr>
          <w:rFonts w:ascii="仿宋_GB2312" w:eastAsia="仿宋_GB2312" w:hAnsi="宋体"/>
          <w:sz w:val="32"/>
          <w:szCs w:val="32"/>
        </w:rPr>
      </w:pPr>
      <w:r>
        <w:rPr>
          <w:rFonts w:ascii="仿宋_GB2312" w:eastAsia="仿宋_GB2312" w:hAnsi="宋体" w:hint="eastAsia"/>
          <w:sz w:val="32"/>
          <w:szCs w:val="32"/>
        </w:rPr>
        <w:t xml:space="preserve">    </w:t>
      </w:r>
      <w:r>
        <w:rPr>
          <w:rFonts w:ascii="仿宋_GB2312" w:eastAsia="仿宋_GB2312" w:hint="eastAsia"/>
          <w:bCs/>
          <w:sz w:val="32"/>
          <w:szCs w:val="32"/>
        </w:rPr>
        <w:t>信息披露涉及重大复杂、无先例事项的，本所可以实施事前审核。</w:t>
      </w:r>
    </w:p>
    <w:p w14:paraId="55339FB3" w14:textId="77777777" w:rsidR="000C29B8" w:rsidRDefault="00000000">
      <w:pPr>
        <w:numPr>
          <w:ilvl w:val="1"/>
          <w:numId w:val="23"/>
        </w:numPr>
        <w:tabs>
          <w:tab w:val="left" w:pos="1080"/>
        </w:tabs>
        <w:autoSpaceDE w:val="0"/>
        <w:autoSpaceDN w:val="0"/>
        <w:adjustRightInd w:val="0"/>
        <w:snapToGrid w:val="0"/>
        <w:spacing w:line="560" w:lineRule="exact"/>
        <w:ind w:left="0" w:firstLineChars="200" w:firstLine="640"/>
        <w:rPr>
          <w:rFonts w:ascii="仿宋_GB2312" w:eastAsia="仿宋_GB2312"/>
          <w:bCs/>
          <w:sz w:val="32"/>
          <w:szCs w:val="32"/>
        </w:rPr>
      </w:pPr>
      <w:r>
        <w:rPr>
          <w:rFonts w:ascii="仿宋_GB2312" w:eastAsia="仿宋_GB2312" w:hint="eastAsia"/>
          <w:bCs/>
          <w:sz w:val="32"/>
          <w:szCs w:val="32"/>
        </w:rPr>
        <w:t>本所对信息披露文件实施形式审核，对其内容的真实性不承担责任。</w:t>
      </w:r>
    </w:p>
    <w:p w14:paraId="38827BC8" w14:textId="77777777" w:rsidR="000C29B8" w:rsidRDefault="00000000">
      <w:pPr>
        <w:numPr>
          <w:ilvl w:val="1"/>
          <w:numId w:val="23"/>
        </w:numPr>
        <w:tabs>
          <w:tab w:val="left" w:pos="1080"/>
        </w:tabs>
        <w:autoSpaceDE w:val="0"/>
        <w:autoSpaceDN w:val="0"/>
        <w:adjustRightInd w:val="0"/>
        <w:snapToGrid w:val="0"/>
        <w:spacing w:line="560" w:lineRule="exact"/>
        <w:ind w:left="0" w:firstLineChars="200" w:firstLine="640"/>
        <w:rPr>
          <w:rFonts w:ascii="仿宋_GB2312" w:eastAsia="仿宋_GB2312"/>
          <w:bCs/>
          <w:sz w:val="32"/>
          <w:szCs w:val="32"/>
        </w:rPr>
      </w:pPr>
      <w:r>
        <w:rPr>
          <w:rFonts w:ascii="仿宋_GB2312" w:eastAsia="仿宋_GB2312" w:hint="eastAsia"/>
          <w:bCs/>
          <w:sz w:val="32"/>
          <w:szCs w:val="32"/>
        </w:rPr>
        <w:t>本所经审核认为信息披露文件存在重大问题，可以提出问询。上市公司和相关信息披露义务人应当在规定期限内如实答复，并披露补充或者更正公告。</w:t>
      </w:r>
    </w:p>
    <w:p w14:paraId="00D374C3" w14:textId="77777777" w:rsidR="000C29B8" w:rsidRDefault="00000000">
      <w:pPr>
        <w:numPr>
          <w:ilvl w:val="1"/>
          <w:numId w:val="23"/>
        </w:numPr>
        <w:tabs>
          <w:tab w:val="left" w:pos="1080"/>
        </w:tabs>
        <w:autoSpaceDE w:val="0"/>
        <w:autoSpaceDN w:val="0"/>
        <w:adjustRightInd w:val="0"/>
        <w:snapToGrid w:val="0"/>
        <w:spacing w:line="560" w:lineRule="exact"/>
        <w:ind w:left="0" w:firstLineChars="200" w:firstLine="640"/>
        <w:rPr>
          <w:rFonts w:ascii="仿宋_GB2312" w:eastAsia="仿宋_GB2312"/>
          <w:bCs/>
          <w:sz w:val="32"/>
          <w:szCs w:val="32"/>
        </w:rPr>
      </w:pPr>
      <w:r>
        <w:rPr>
          <w:rFonts w:ascii="仿宋_GB2312" w:eastAsia="仿宋_GB2312" w:hint="eastAsia"/>
          <w:bCs/>
          <w:sz w:val="32"/>
          <w:szCs w:val="32"/>
        </w:rPr>
        <w:t>上市公司或者相关信息披露义务人未按照本规则或者本所要求进行公告的，或者本所认为必要的，本所可以以交易所公告形式向市场说明有关情况。</w:t>
      </w:r>
    </w:p>
    <w:p w14:paraId="4B330CCB" w14:textId="77777777" w:rsidR="000C29B8" w:rsidRDefault="00000000">
      <w:pPr>
        <w:numPr>
          <w:ilvl w:val="1"/>
          <w:numId w:val="23"/>
        </w:numPr>
        <w:tabs>
          <w:tab w:val="clear" w:pos="992"/>
          <w:tab w:val="left" w:pos="0"/>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上市公司应当通过本所上市公司信息披露电子化系统登记公告。相关信息披露义务人应当通过上市公司或者</w:t>
      </w:r>
      <w:r>
        <w:rPr>
          <w:rFonts w:ascii="仿宋_GB2312" w:eastAsia="仿宋_GB2312" w:hAnsi="宋体" w:hint="eastAsia"/>
          <w:sz w:val="32"/>
          <w:szCs w:val="32"/>
          <w:shd w:val="clear" w:color="auto" w:fill="FFFFFF"/>
        </w:rPr>
        <w:t>本所指定的信息披露平台</w:t>
      </w:r>
      <w:r>
        <w:rPr>
          <w:rFonts w:ascii="仿宋_GB2312" w:eastAsia="仿宋_GB2312" w:hAnsi="宋体" w:hint="eastAsia"/>
          <w:sz w:val="32"/>
          <w:szCs w:val="32"/>
        </w:rPr>
        <w:t>办理公告登记。</w:t>
      </w:r>
    </w:p>
    <w:p w14:paraId="007EAB2E" w14:textId="77777777" w:rsidR="000C29B8" w:rsidRDefault="00000000">
      <w:pPr>
        <w:tabs>
          <w:tab w:val="left" w:pos="1080"/>
        </w:tabs>
        <w:autoSpaceDE w:val="0"/>
        <w:autoSpaceDN w:val="0"/>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上市公司和相关信息披露义务人应当保证披露的信息与登记的公告内容一致。未能按照登记内容披露的，应当立即向本所报告并及时更正。</w:t>
      </w:r>
    </w:p>
    <w:p w14:paraId="1679C414" w14:textId="77777777" w:rsidR="000C29B8" w:rsidRDefault="00000000">
      <w:pPr>
        <w:tabs>
          <w:tab w:val="left" w:pos="1080"/>
        </w:tabs>
        <w:autoSpaceDE w:val="0"/>
        <w:autoSpaceDN w:val="0"/>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上市公司和相关信息披露义务人应当在本所网站和中国证监会指定媒体上披露信息披露文件。</w:t>
      </w:r>
    </w:p>
    <w:p w14:paraId="5863E7DE" w14:textId="77777777" w:rsidR="000C29B8" w:rsidRDefault="00000000">
      <w:pPr>
        <w:numPr>
          <w:ilvl w:val="1"/>
          <w:numId w:val="23"/>
        </w:numPr>
        <w:tabs>
          <w:tab w:val="left" w:pos="1080"/>
        </w:tabs>
        <w:autoSpaceDE w:val="0"/>
        <w:autoSpaceDN w:val="0"/>
        <w:adjustRightInd w:val="0"/>
        <w:snapToGrid w:val="0"/>
        <w:spacing w:line="560" w:lineRule="exact"/>
        <w:ind w:left="0" w:firstLineChars="200" w:firstLine="640"/>
        <w:rPr>
          <w:rFonts w:ascii="仿宋_GB2312" w:eastAsia="仿宋_GB2312"/>
          <w:bCs/>
          <w:sz w:val="32"/>
          <w:szCs w:val="32"/>
        </w:rPr>
      </w:pPr>
      <w:r>
        <w:rPr>
          <w:rFonts w:ascii="仿宋_GB2312" w:eastAsia="仿宋_GB2312" w:hint="eastAsia"/>
          <w:bCs/>
          <w:sz w:val="32"/>
          <w:szCs w:val="32"/>
        </w:rPr>
        <w:t>上市公司或者相关信息披露义务人公告屡次出现虚假记载、误导性陈述或者重大遗漏等情形的，本所可以</w:t>
      </w:r>
      <w:r>
        <w:rPr>
          <w:rFonts w:ascii="仿宋_GB2312" w:eastAsia="仿宋_GB2312" w:hint="eastAsia"/>
          <w:bCs/>
          <w:sz w:val="32"/>
          <w:szCs w:val="32"/>
        </w:rPr>
        <w:lastRenderedPageBreak/>
        <w:t>决定对其</w:t>
      </w:r>
      <w:r>
        <w:rPr>
          <w:rFonts w:ascii="仿宋_GB2312" w:eastAsia="仿宋_GB2312" w:hAnsi="Arial Unicode MS" w:cs="Arial Unicode MS" w:hint="eastAsia"/>
          <w:sz w:val="32"/>
          <w:szCs w:val="32"/>
        </w:rPr>
        <w:t>暂停适用信息披露直通车业务</w:t>
      </w:r>
      <w:r>
        <w:rPr>
          <w:rFonts w:ascii="仿宋_GB2312" w:eastAsia="仿宋_GB2312" w:hint="eastAsia"/>
          <w:bCs/>
          <w:sz w:val="32"/>
          <w:szCs w:val="32"/>
        </w:rPr>
        <w:t>。</w:t>
      </w:r>
    </w:p>
    <w:p w14:paraId="0BC30243" w14:textId="77777777" w:rsidR="000C29B8" w:rsidRDefault="00000000">
      <w:pPr>
        <w:pStyle w:val="23"/>
        <w:numPr>
          <w:ilvl w:val="1"/>
          <w:numId w:val="1"/>
        </w:numPr>
        <w:ind w:left="0" w:firstLine="643"/>
      </w:pPr>
      <w:bookmarkStart w:id="105" w:name="_Toc15513"/>
      <w:r>
        <w:rPr>
          <w:rFonts w:hint="eastAsia"/>
        </w:rPr>
        <w:t>信息披露管理制度</w:t>
      </w:r>
      <w:bookmarkEnd w:id="105"/>
    </w:p>
    <w:p w14:paraId="533A6E99" w14:textId="77777777" w:rsidR="000C29B8" w:rsidRDefault="00000000">
      <w:pPr>
        <w:numPr>
          <w:ilvl w:val="1"/>
          <w:numId w:val="24"/>
        </w:numPr>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上市公司应当建立信息披露事务管理制度，经董事会审议通过并披露。</w:t>
      </w:r>
    </w:p>
    <w:p w14:paraId="03B1CE82" w14:textId="77777777" w:rsidR="000C29B8" w:rsidRDefault="00000000">
      <w:pPr>
        <w:tabs>
          <w:tab w:val="left" w:pos="1080"/>
        </w:tabs>
        <w:autoSpaceDE w:val="0"/>
        <w:autoSpaceDN w:val="0"/>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上市公司应当建立与本所的有效沟通渠道，保证联系畅通。</w:t>
      </w:r>
    </w:p>
    <w:p w14:paraId="574C0C6B" w14:textId="77777777" w:rsidR="000C29B8" w:rsidRDefault="00000000">
      <w:pPr>
        <w:numPr>
          <w:ilvl w:val="1"/>
          <w:numId w:val="24"/>
        </w:numPr>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上市公司应当制定董事、监事、高级管理人员以及其他相关人员对外发布信息的内部规范制度，明确发布程序、方式和未经董事会许可不得对外发布的情形等事项。</w:t>
      </w:r>
    </w:p>
    <w:p w14:paraId="1B8551BF" w14:textId="77777777" w:rsidR="000C29B8" w:rsidRDefault="00000000">
      <w:pPr>
        <w:autoSpaceDE w:val="0"/>
        <w:autoSpaceDN w:val="0"/>
        <w:adjustRightInd w:val="0"/>
        <w:snapToGrid w:val="0"/>
        <w:spacing w:line="560" w:lineRule="exact"/>
        <w:rPr>
          <w:rFonts w:ascii="仿宋_GB2312" w:eastAsia="仿宋_GB2312" w:hAnsi="宋体"/>
          <w:sz w:val="32"/>
          <w:szCs w:val="32"/>
        </w:rPr>
      </w:pPr>
      <w:r>
        <w:rPr>
          <w:rFonts w:ascii="仿宋_GB2312" w:eastAsia="仿宋_GB2312" w:hAnsi="宋体" w:hint="eastAsia"/>
          <w:sz w:val="32"/>
          <w:szCs w:val="32"/>
        </w:rPr>
        <w:t xml:space="preserve">    上市公司控股股东、实际控制人应当比照前款要求，规范与上市公司有关的信息发布行为。</w:t>
      </w:r>
    </w:p>
    <w:p w14:paraId="649DBCF0" w14:textId="77777777" w:rsidR="000C29B8" w:rsidRDefault="00000000">
      <w:pPr>
        <w:numPr>
          <w:ilvl w:val="1"/>
          <w:numId w:val="24"/>
        </w:numPr>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上市公司和相关信息披露义务人不得以新闻发布或者答记者问等其他形式代替信息披露或泄露未公开重大信息。</w:t>
      </w:r>
    </w:p>
    <w:p w14:paraId="12663801" w14:textId="77777777" w:rsidR="000C29B8" w:rsidRDefault="00000000">
      <w:pPr>
        <w:tabs>
          <w:tab w:val="left" w:pos="1080"/>
        </w:tabs>
        <w:autoSpaceDE w:val="0"/>
        <w:autoSpaceDN w:val="0"/>
        <w:adjustRightInd w:val="0"/>
        <w:snapToGrid w:val="0"/>
        <w:spacing w:line="560" w:lineRule="exact"/>
        <w:ind w:firstLineChars="200" w:firstLine="640"/>
        <w:rPr>
          <w:rFonts w:ascii="仿宋_GB2312" w:eastAsia="仿宋_GB2312"/>
          <w:bCs/>
          <w:sz w:val="32"/>
          <w:szCs w:val="32"/>
        </w:rPr>
      </w:pPr>
      <w:r>
        <w:rPr>
          <w:rFonts w:ascii="仿宋_GB2312" w:eastAsia="仿宋_GB2312" w:hint="eastAsia"/>
          <w:sz w:val="32"/>
          <w:szCs w:val="32"/>
        </w:rPr>
        <w:t>上市公司和相关</w:t>
      </w:r>
      <w:r>
        <w:rPr>
          <w:rFonts w:ascii="仿宋_GB2312" w:eastAsia="仿宋_GB2312" w:hAnsi="宋体" w:hint="eastAsia"/>
          <w:sz w:val="32"/>
          <w:szCs w:val="32"/>
        </w:rPr>
        <w:t>信息披露义务人确有需要的，可以在非交易时段通过新闻发布会、媒体专访、公司网站、网络自媒体等方式对外发布应披露的信息，但公司应当于下一交易时段开始前披露相关公告。</w:t>
      </w:r>
    </w:p>
    <w:p w14:paraId="767F38A8" w14:textId="77777777" w:rsidR="000C29B8" w:rsidRDefault="00000000">
      <w:pPr>
        <w:numPr>
          <w:ilvl w:val="1"/>
          <w:numId w:val="24"/>
        </w:numPr>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上市公司应当建立内幕信息管理制度。上市公司及其董事、监事、高级管理人员和其他内幕信息知情人在信息披露前，应当将内幕信息知情人控制在最小范围。</w:t>
      </w:r>
    </w:p>
    <w:p w14:paraId="09AD6B03" w14:textId="77777777" w:rsidR="000C29B8" w:rsidRDefault="00000000">
      <w:pPr>
        <w:autoSpaceDE w:val="0"/>
        <w:autoSpaceDN w:val="0"/>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内幕信息知情人在内幕信息公开前，不得买卖公司股票、泄露内幕信息或者建议他人买卖公司股票。</w:t>
      </w:r>
    </w:p>
    <w:p w14:paraId="5CEF0DCE" w14:textId="77777777" w:rsidR="000C29B8" w:rsidRDefault="00000000">
      <w:pPr>
        <w:numPr>
          <w:ilvl w:val="1"/>
          <w:numId w:val="24"/>
        </w:numPr>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相关信息披露义务人应当积极配合上市公司做</w:t>
      </w:r>
      <w:r>
        <w:rPr>
          <w:rFonts w:ascii="仿宋_GB2312" w:eastAsia="仿宋_GB2312" w:hAnsi="宋体" w:hint="eastAsia"/>
          <w:sz w:val="32"/>
          <w:szCs w:val="32"/>
        </w:rPr>
        <w:lastRenderedPageBreak/>
        <w:t>好信息披露工作，及时告知公司已发生或者可能发生的重大事件，严格履行承诺。</w:t>
      </w:r>
    </w:p>
    <w:p w14:paraId="59F18F1F" w14:textId="77777777" w:rsidR="000C29B8" w:rsidRDefault="00000000">
      <w:pPr>
        <w:autoSpaceDE w:val="0"/>
        <w:autoSpaceDN w:val="0"/>
        <w:adjustRightInd w:val="0"/>
        <w:snapToGrid w:val="0"/>
        <w:spacing w:line="560" w:lineRule="exact"/>
        <w:rPr>
          <w:rFonts w:ascii="仿宋_GB2312" w:eastAsia="仿宋_GB2312" w:hAnsi="宋体"/>
          <w:sz w:val="32"/>
          <w:szCs w:val="32"/>
        </w:rPr>
      </w:pPr>
      <w:r>
        <w:rPr>
          <w:rFonts w:ascii="仿宋_GB2312" w:eastAsia="仿宋_GB2312" w:hAnsi="宋体" w:hint="eastAsia"/>
          <w:sz w:val="32"/>
          <w:szCs w:val="32"/>
        </w:rPr>
        <w:t xml:space="preserve">    相关信息披露义务人通过上市公司披露信息的，上市公司应当予以协助。</w:t>
      </w:r>
    </w:p>
    <w:p w14:paraId="230C78B2" w14:textId="77777777" w:rsidR="000C29B8" w:rsidRDefault="00000000">
      <w:pPr>
        <w:numPr>
          <w:ilvl w:val="1"/>
          <w:numId w:val="24"/>
        </w:numPr>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上市公司应当建立与投资者的有效沟通渠道，保障投资者合法权益。</w:t>
      </w:r>
    </w:p>
    <w:p w14:paraId="307F15BD" w14:textId="77777777" w:rsidR="000C29B8" w:rsidRDefault="00000000">
      <w:pPr>
        <w:tabs>
          <w:tab w:val="left" w:pos="1080"/>
        </w:tabs>
        <w:autoSpaceDE w:val="0"/>
        <w:autoSpaceDN w:val="0"/>
        <w:adjustRightInd w:val="0"/>
        <w:snapToGrid w:val="0"/>
        <w:spacing w:line="560" w:lineRule="exact"/>
        <w:ind w:firstLineChars="200" w:firstLine="640"/>
        <w:rPr>
          <w:rFonts w:ascii="仿宋_GB2312" w:eastAsia="仿宋_GB2312"/>
          <w:bCs/>
          <w:sz w:val="32"/>
          <w:szCs w:val="32"/>
        </w:rPr>
      </w:pPr>
      <w:r>
        <w:rPr>
          <w:rFonts w:ascii="仿宋_GB2312" w:eastAsia="仿宋_GB2312" w:hAnsi="宋体" w:hint="eastAsia"/>
          <w:sz w:val="32"/>
          <w:szCs w:val="32"/>
        </w:rPr>
        <w:t>上市公司应当积极召开投资者说明会，向投资者说明公司重大事项，澄清媒体传闻。</w:t>
      </w:r>
    </w:p>
    <w:p w14:paraId="1671BBAB" w14:textId="77777777" w:rsidR="000C29B8" w:rsidRDefault="000C29B8">
      <w:pPr>
        <w:tabs>
          <w:tab w:val="left" w:pos="1080"/>
        </w:tabs>
        <w:autoSpaceDE w:val="0"/>
        <w:autoSpaceDN w:val="0"/>
        <w:adjustRightInd w:val="0"/>
        <w:snapToGrid w:val="0"/>
        <w:spacing w:line="560" w:lineRule="exact"/>
        <w:ind w:firstLineChars="200" w:firstLine="640"/>
        <w:rPr>
          <w:rFonts w:ascii="仿宋_GB2312" w:eastAsia="仿宋_GB2312"/>
          <w:bCs/>
          <w:sz w:val="32"/>
          <w:szCs w:val="32"/>
        </w:rPr>
      </w:pPr>
    </w:p>
    <w:p w14:paraId="243957F4" w14:textId="77777777" w:rsidR="000C29B8" w:rsidRDefault="00000000">
      <w:pPr>
        <w:pStyle w:val="6"/>
        <w:rPr>
          <w:b/>
        </w:rPr>
      </w:pPr>
      <w:bookmarkStart w:id="106" w:name="_Toc530162854"/>
      <w:bookmarkStart w:id="107" w:name="_Toc530162324"/>
      <w:bookmarkStart w:id="108" w:name="_Toc530162187"/>
      <w:bookmarkStart w:id="109" w:name="_Toc530162325"/>
      <w:bookmarkStart w:id="110" w:name="_Toc530162861"/>
      <w:bookmarkStart w:id="111" w:name="_Toc530162182"/>
      <w:bookmarkStart w:id="112" w:name="_Toc530162839"/>
      <w:bookmarkStart w:id="113" w:name="_Toc530162884"/>
      <w:bookmarkStart w:id="114" w:name="_Toc530161905"/>
      <w:bookmarkStart w:id="115" w:name="_Toc530162619"/>
      <w:bookmarkStart w:id="116" w:name="_Toc530162847"/>
      <w:bookmarkStart w:id="117" w:name="_Toc530162893"/>
      <w:bookmarkStart w:id="118" w:name="_Toc530162889"/>
      <w:bookmarkStart w:id="119" w:name="_Toc530162881"/>
      <w:bookmarkStart w:id="120" w:name="_Toc530162043"/>
      <w:bookmarkStart w:id="121" w:name="_Toc530162845"/>
      <w:bookmarkStart w:id="122" w:name="_Toc530162903"/>
      <w:bookmarkStart w:id="123" w:name="_Toc530162186"/>
      <w:bookmarkStart w:id="124" w:name="_Toc530162344"/>
      <w:bookmarkStart w:id="125" w:name="_Toc530162876"/>
      <w:bookmarkStart w:id="126" w:name="_Toc530162846"/>
      <w:bookmarkStart w:id="127" w:name="_Toc530162880"/>
      <w:bookmarkStart w:id="128" w:name="_Toc530162616"/>
      <w:bookmarkStart w:id="129" w:name="_Toc530162875"/>
      <w:bookmarkStart w:id="130" w:name="_Toc530162040"/>
      <w:bookmarkStart w:id="131" w:name="_Toc530162478"/>
      <w:bookmarkStart w:id="132" w:name="_Toc530162756"/>
      <w:bookmarkStart w:id="133" w:name="_Toc530162873"/>
      <w:bookmarkStart w:id="134" w:name="_Toc530162183"/>
      <w:bookmarkStart w:id="135" w:name="_Toc530161898"/>
      <w:bookmarkStart w:id="136" w:name="_Toc530162855"/>
      <w:bookmarkStart w:id="137" w:name="_Toc530162038"/>
      <w:bookmarkStart w:id="138" w:name="_Toc530162778"/>
      <w:bookmarkStart w:id="139" w:name="_Toc530162757"/>
      <w:bookmarkStart w:id="140" w:name="_Toc530162849"/>
      <w:bookmarkStart w:id="141" w:name="_Toc530162766"/>
      <w:bookmarkStart w:id="142" w:name="_Toc530162864"/>
      <w:bookmarkStart w:id="143" w:name="_Toc530162491"/>
      <w:bookmarkStart w:id="144" w:name="_Toc530162326"/>
      <w:bookmarkStart w:id="145" w:name="_Toc530161890"/>
      <w:bookmarkStart w:id="146" w:name="_Toc530161893"/>
      <w:bookmarkStart w:id="147" w:name="_Toc530161897"/>
      <w:bookmarkStart w:id="148" w:name="_Toc530162879"/>
      <w:bookmarkStart w:id="149" w:name="_Toc530162612"/>
      <w:bookmarkStart w:id="150" w:name="_Toc530162851"/>
      <w:bookmarkStart w:id="151" w:name="_Toc530162902"/>
      <w:bookmarkStart w:id="152" w:name="_Toc530162332"/>
      <w:bookmarkStart w:id="153" w:name="_Toc530162477"/>
      <w:bookmarkStart w:id="154" w:name="_Toc530162180"/>
      <w:bookmarkStart w:id="155" w:name="_Toc530162622"/>
      <w:bookmarkStart w:id="156" w:name="_Toc530162635"/>
      <w:bookmarkStart w:id="157" w:name="_Toc530162335"/>
      <w:bookmarkStart w:id="158" w:name="_Toc530162050"/>
      <w:bookmarkStart w:id="159" w:name="_Toc530162763"/>
      <w:bookmarkStart w:id="160" w:name="_Toc530162046"/>
      <w:bookmarkStart w:id="161" w:name="_Toc530162336"/>
      <w:bookmarkStart w:id="162" w:name="_Toc530034645"/>
      <w:bookmarkStart w:id="163" w:name="_Toc530162482"/>
      <w:bookmarkStart w:id="164" w:name="_Toc530162198"/>
      <w:bookmarkStart w:id="165" w:name="_Toc530162755"/>
      <w:bookmarkStart w:id="166" w:name="_Toc530162627"/>
      <w:bookmarkStart w:id="167" w:name="_Toc530161900"/>
      <w:bookmarkStart w:id="168" w:name="_Toc530162048"/>
      <w:bookmarkStart w:id="169" w:name="_Toc530162196"/>
      <w:bookmarkStart w:id="170" w:name="_Toc530162890"/>
      <w:bookmarkStart w:id="171" w:name="_Toc530162485"/>
      <w:bookmarkStart w:id="172" w:name="_Toc530161912"/>
      <w:bookmarkStart w:id="173" w:name="_Toc530162044"/>
      <w:bookmarkStart w:id="174" w:name="_Toc530162489"/>
      <w:bookmarkStart w:id="175" w:name="_Toc530162328"/>
      <w:bookmarkStart w:id="176" w:name="_Toc530162772"/>
      <w:bookmarkStart w:id="177" w:name="_Toc530162190"/>
      <w:bookmarkStart w:id="178" w:name="_Toc530161896"/>
      <w:bookmarkStart w:id="179" w:name="_Toc530162775"/>
      <w:bookmarkStart w:id="180" w:name="_Toc530161907"/>
      <w:bookmarkStart w:id="181" w:name="_Toc530162761"/>
      <w:bookmarkStart w:id="182" w:name="_Toc530162191"/>
      <w:bookmarkStart w:id="183" w:name="_Toc530161902"/>
      <w:bookmarkStart w:id="184" w:name="_Toc530162623"/>
      <w:bookmarkStart w:id="185" w:name="_Toc530162194"/>
      <w:bookmarkStart w:id="186" w:name="_Toc530161901"/>
      <w:bookmarkStart w:id="187" w:name="_Toc530161899"/>
      <w:bookmarkStart w:id="188" w:name="_Toc530162345"/>
      <w:bookmarkStart w:id="189" w:name="_Toc530162630"/>
      <w:bookmarkStart w:id="190" w:name="_Toc530162777"/>
      <w:bookmarkStart w:id="191" w:name="_Toc530162628"/>
      <w:bookmarkStart w:id="192" w:name="_Toc530162334"/>
      <w:bookmarkStart w:id="193" w:name="_Toc530162765"/>
      <w:bookmarkStart w:id="194" w:name="_Toc530162493"/>
      <w:bookmarkStart w:id="195" w:name="_Toc530162045"/>
      <w:bookmarkStart w:id="196" w:name="_Toc530162470"/>
      <w:bookmarkStart w:id="197" w:name="_Toc530162049"/>
      <w:bookmarkStart w:id="198" w:name="_Toc530162888"/>
      <w:bookmarkStart w:id="199" w:name="_Toc530162481"/>
      <w:bookmarkStart w:id="200" w:name="_Toc530162490"/>
      <w:bookmarkStart w:id="201" w:name="_Toc530162764"/>
      <w:bookmarkStart w:id="202" w:name="_Toc530162856"/>
      <w:bookmarkStart w:id="203" w:name="_Toc530162486"/>
      <w:bookmarkStart w:id="204" w:name="_Toc530162866"/>
      <w:bookmarkStart w:id="205" w:name="_Toc530162613"/>
      <w:bookmarkStart w:id="206" w:name="_Toc530162838"/>
      <w:bookmarkStart w:id="207" w:name="_Toc530162629"/>
      <w:bookmarkStart w:id="208" w:name="_Toc530162034"/>
      <w:bookmarkStart w:id="209" w:name="_Toc530162340"/>
      <w:bookmarkStart w:id="210" w:name="_Toc530161904"/>
      <w:bookmarkStart w:id="211" w:name="_Toc530162776"/>
      <w:bookmarkStart w:id="212" w:name="_Toc530162188"/>
      <w:bookmarkStart w:id="213" w:name="_Toc530162863"/>
      <w:bookmarkStart w:id="214" w:name="_Toc530162346"/>
      <w:bookmarkStart w:id="215" w:name="_Toc530162185"/>
      <w:bookmarkStart w:id="216" w:name="_Toc530162844"/>
      <w:bookmarkStart w:id="217" w:name="_Toc530162492"/>
      <w:bookmarkStart w:id="218" w:name="_Toc530162843"/>
      <w:bookmarkStart w:id="219" w:name="_Toc530162195"/>
      <w:bookmarkStart w:id="220" w:name="_Toc530162037"/>
      <w:bookmarkStart w:id="221" w:name="_Toc530162614"/>
      <w:bookmarkStart w:id="222" w:name="_Toc530162869"/>
      <w:bookmarkStart w:id="223" w:name="_Toc530162898"/>
      <w:bookmarkStart w:id="224" w:name="_Toc530162878"/>
      <w:bookmarkStart w:id="225" w:name="_Toc530162343"/>
      <w:bookmarkStart w:id="226" w:name="_Toc530162479"/>
      <w:bookmarkStart w:id="227" w:name="_Toc530056397"/>
      <w:bookmarkStart w:id="228" w:name="_Toc530162480"/>
      <w:bookmarkStart w:id="229" w:name="_Toc530162625"/>
      <w:bookmarkStart w:id="230" w:name="_Toc530162883"/>
      <w:bookmarkStart w:id="231" w:name="_Toc530162474"/>
      <w:bookmarkStart w:id="232" w:name="_Toc530162618"/>
      <w:bookmarkStart w:id="233" w:name="_Toc530162907"/>
      <w:bookmarkStart w:id="234" w:name="_Toc530162329"/>
      <w:bookmarkStart w:id="235" w:name="_Toc530162858"/>
      <w:bookmarkStart w:id="236" w:name="_Toc530162047"/>
      <w:bookmarkStart w:id="237" w:name="_Toc530162774"/>
      <w:bookmarkStart w:id="238" w:name="_Toc530162901"/>
      <w:bookmarkStart w:id="239" w:name="_Toc530162836"/>
      <w:bookmarkStart w:id="240" w:name="_Toc530162767"/>
      <w:bookmarkStart w:id="241" w:name="_Toc530162827"/>
      <w:bookmarkStart w:id="242" w:name="_Toc530162874"/>
      <w:bookmarkStart w:id="243" w:name="_Toc530162054"/>
      <w:bookmarkStart w:id="244" w:name="_Toc530162905"/>
      <w:bookmarkStart w:id="245" w:name="_Toc530162837"/>
      <w:bookmarkStart w:id="246" w:name="_Toc530162035"/>
      <w:bookmarkStart w:id="247" w:name="_Toc530162886"/>
      <w:bookmarkStart w:id="248" w:name="_Toc530162906"/>
      <w:bookmarkStart w:id="249" w:name="_Toc530162181"/>
      <w:bookmarkStart w:id="250" w:name="_Toc530056399"/>
      <w:bookmarkStart w:id="251" w:name="_Toc530162850"/>
      <w:bookmarkStart w:id="252" w:name="_Toc530162051"/>
      <w:bookmarkStart w:id="253" w:name="_Toc530162041"/>
      <w:bookmarkStart w:id="254" w:name="_Toc530161903"/>
      <w:bookmarkStart w:id="255" w:name="_Toc530162892"/>
      <w:bookmarkStart w:id="256" w:name="_Toc530162885"/>
      <w:bookmarkStart w:id="257" w:name="_Toc530162887"/>
      <w:bookmarkStart w:id="258" w:name="_Toc530162333"/>
      <w:bookmarkStart w:id="259" w:name="_Toc530162831"/>
      <w:bookmarkStart w:id="260" w:name="_Toc530162189"/>
      <w:bookmarkStart w:id="261" w:name="_Toc530162337"/>
      <w:bookmarkStart w:id="262" w:name="_Toc530162828"/>
      <w:bookmarkStart w:id="263" w:name="_Toc530162341"/>
      <w:bookmarkStart w:id="264" w:name="_Toc530162759"/>
      <w:bookmarkStart w:id="265" w:name="_Toc530162624"/>
      <w:bookmarkStart w:id="266" w:name="_Toc530162039"/>
      <w:bookmarkStart w:id="267" w:name="_Toc530162877"/>
      <w:bookmarkStart w:id="268" w:name="_Toc530162488"/>
      <w:bookmarkStart w:id="269" w:name="_Toc530162053"/>
      <w:bookmarkStart w:id="270" w:name="_Toc530162871"/>
      <w:bookmarkStart w:id="271" w:name="_Toc530161906"/>
      <w:bookmarkStart w:id="272" w:name="_Toc530162487"/>
      <w:bookmarkStart w:id="273" w:name="_Toc530162621"/>
      <w:bookmarkStart w:id="274" w:name="_Toc530162900"/>
      <w:bookmarkStart w:id="275" w:name="_Toc530052383"/>
      <w:bookmarkStart w:id="276" w:name="_Toc530162768"/>
      <w:bookmarkStart w:id="277" w:name="_Toc530162896"/>
      <w:bookmarkStart w:id="278" w:name="_Toc530162192"/>
      <w:bookmarkStart w:id="279" w:name="_Toc530162770"/>
      <w:bookmarkStart w:id="280" w:name="_Toc530162894"/>
      <w:bookmarkStart w:id="281" w:name="_Toc530162868"/>
      <w:bookmarkStart w:id="282" w:name="_Toc530162634"/>
      <w:bookmarkStart w:id="283" w:name="_Toc530162483"/>
      <w:bookmarkStart w:id="284" w:name="_Toc530162859"/>
      <w:bookmarkStart w:id="285" w:name="_Toc530162773"/>
      <w:bookmarkStart w:id="286" w:name="_Toc530162475"/>
      <w:bookmarkStart w:id="287" w:name="_Toc530162202"/>
      <w:bookmarkStart w:id="288" w:name="_Toc530162484"/>
      <w:bookmarkStart w:id="289" w:name="_Toc530162841"/>
      <w:bookmarkStart w:id="290" w:name="_Toc530162199"/>
      <w:bookmarkStart w:id="291" w:name="_Toc530162897"/>
      <w:bookmarkStart w:id="292" w:name="_Toc530034646"/>
      <w:bookmarkStart w:id="293" w:name="_Toc530162471"/>
      <w:bookmarkStart w:id="294" w:name="_Toc530162867"/>
      <w:bookmarkStart w:id="295" w:name="_Toc530162829"/>
      <w:bookmarkStart w:id="296" w:name="_Toc530161908"/>
      <w:bookmarkStart w:id="297" w:name="_Toc530162865"/>
      <w:bookmarkStart w:id="298" w:name="_Toc530162758"/>
      <w:bookmarkStart w:id="299" w:name="_Toc530162882"/>
      <w:bookmarkStart w:id="300" w:name="_Toc530162862"/>
      <w:bookmarkStart w:id="301" w:name="_Toc530162042"/>
      <w:bookmarkStart w:id="302" w:name="_Toc530162760"/>
      <w:bookmarkStart w:id="303" w:name="_Toc530162842"/>
      <w:bookmarkStart w:id="304" w:name="_Toc530162338"/>
      <w:bookmarkStart w:id="305" w:name="_Toc530162056"/>
      <w:bookmarkStart w:id="306" w:name="_Toc530162899"/>
      <w:bookmarkStart w:id="307" w:name="_Toc530162830"/>
      <w:bookmarkStart w:id="308" w:name="_Toc530162342"/>
      <w:bookmarkStart w:id="309" w:name="_Toc530162057"/>
      <w:bookmarkStart w:id="310" w:name="_Toc530052384"/>
      <w:bookmarkStart w:id="311" w:name="_Toc530161911"/>
      <w:bookmarkStart w:id="312" w:name="_Toc530162184"/>
      <w:bookmarkStart w:id="313" w:name="_Toc530052382"/>
      <w:bookmarkStart w:id="314" w:name="_Toc530162771"/>
      <w:bookmarkStart w:id="315" w:name="_Toc530162615"/>
      <w:bookmarkStart w:id="316" w:name="_Toc530162473"/>
      <w:bookmarkStart w:id="317" w:name="_Toc530162870"/>
      <w:bookmarkStart w:id="318" w:name="_Toc530162476"/>
      <w:bookmarkStart w:id="319" w:name="_Toc530162633"/>
      <w:bookmarkStart w:id="320" w:name="_Toc530161891"/>
      <w:bookmarkStart w:id="321" w:name="_Toc530162762"/>
      <w:bookmarkStart w:id="322" w:name="_Toc530162626"/>
      <w:bookmarkStart w:id="323" w:name="_Toc530162852"/>
      <w:bookmarkStart w:id="324" w:name="_Toc530162909"/>
      <w:bookmarkStart w:id="325" w:name="_Toc530161892"/>
      <w:bookmarkStart w:id="326" w:name="_Toc530162339"/>
      <w:bookmarkStart w:id="327" w:name="_Toc530162832"/>
      <w:bookmarkStart w:id="328" w:name="_Toc530162891"/>
      <w:bookmarkStart w:id="329" w:name="_Toc530161894"/>
      <w:bookmarkStart w:id="330" w:name="_Toc530162331"/>
      <w:bookmarkStart w:id="331" w:name="_Toc530162908"/>
      <w:bookmarkStart w:id="332" w:name="_Toc530161910"/>
      <w:bookmarkStart w:id="333" w:name="_Toc530162055"/>
      <w:bookmarkStart w:id="334" w:name="_Toc530034647"/>
      <w:bookmarkStart w:id="335" w:name="_Toc530162857"/>
      <w:bookmarkStart w:id="336" w:name="_Toc530162201"/>
      <w:bookmarkStart w:id="337" w:name="_Toc530162200"/>
      <w:bookmarkStart w:id="338" w:name="_Toc530162036"/>
      <w:bookmarkStart w:id="339" w:name="_Toc530162620"/>
      <w:bookmarkStart w:id="340" w:name="_Toc530162853"/>
      <w:bookmarkStart w:id="341" w:name="_Toc530162833"/>
      <w:bookmarkStart w:id="342" w:name="_Toc530161895"/>
      <w:bookmarkStart w:id="343" w:name="_Toc530161913"/>
      <w:bookmarkStart w:id="344" w:name="_Toc530162347"/>
      <w:bookmarkStart w:id="345" w:name="_Toc530161909"/>
      <w:bookmarkStart w:id="346" w:name="_Toc530162330"/>
      <w:bookmarkStart w:id="347" w:name="_Toc530162632"/>
      <w:bookmarkStart w:id="348" w:name="_Toc530162848"/>
      <w:bookmarkStart w:id="349" w:name="_Toc530162895"/>
      <w:bookmarkStart w:id="350" w:name="_Toc530056398"/>
      <w:bookmarkStart w:id="351" w:name="_Toc530162052"/>
      <w:bookmarkStart w:id="352" w:name="_Toc530162193"/>
      <w:bookmarkStart w:id="353" w:name="_Toc530162197"/>
      <w:bookmarkStart w:id="354" w:name="_Toc530162631"/>
      <w:bookmarkStart w:id="355" w:name="_Toc530162835"/>
      <w:bookmarkStart w:id="356" w:name="_Toc530162840"/>
      <w:bookmarkStart w:id="357" w:name="_Toc530162904"/>
      <w:bookmarkStart w:id="358" w:name="_Toc530162860"/>
      <w:bookmarkStart w:id="359" w:name="_Toc530162472"/>
      <w:bookmarkStart w:id="360" w:name="_Toc530162617"/>
      <w:bookmarkStart w:id="361" w:name="_Toc530162327"/>
      <w:bookmarkStart w:id="362" w:name="_Toc530162769"/>
      <w:bookmarkStart w:id="363" w:name="_Toc530162179"/>
      <w:bookmarkStart w:id="364" w:name="_Toc530162872"/>
      <w:bookmarkStart w:id="365" w:name="_Toc530162834"/>
      <w:bookmarkStart w:id="366" w:name="_Toc8838"/>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Pr>
          <w:rFonts w:hint="eastAsia"/>
        </w:rPr>
        <w:t>定期报告</w:t>
      </w:r>
      <w:bookmarkEnd w:id="366"/>
    </w:p>
    <w:p w14:paraId="46EFF465" w14:textId="77777777" w:rsidR="000C29B8" w:rsidRDefault="00000000">
      <w:pPr>
        <w:pStyle w:val="23"/>
        <w:numPr>
          <w:ilvl w:val="1"/>
          <w:numId w:val="1"/>
        </w:numPr>
        <w:ind w:left="0" w:firstLine="643"/>
      </w:pPr>
      <w:bookmarkStart w:id="367" w:name="_Toc22852"/>
      <w:r>
        <w:rPr>
          <w:rFonts w:hint="eastAsia"/>
        </w:rPr>
        <w:t>定期报告编制和披露要求</w:t>
      </w:r>
      <w:bookmarkEnd w:id="367"/>
    </w:p>
    <w:p w14:paraId="7E7FAED7" w14:textId="77777777" w:rsidR="000C29B8" w:rsidRDefault="00000000">
      <w:pPr>
        <w:pStyle w:val="afa"/>
        <w:numPr>
          <w:ilvl w:val="0"/>
          <w:numId w:val="25"/>
        </w:numPr>
        <w:tabs>
          <w:tab w:val="left" w:pos="1276"/>
          <w:tab w:val="left" w:pos="1418"/>
        </w:tabs>
        <w:spacing w:line="560" w:lineRule="exact"/>
        <w:ind w:left="0" w:firstLine="640"/>
        <w:rPr>
          <w:rFonts w:ascii="仿宋_GB2312"/>
          <w:sz w:val="32"/>
          <w:szCs w:val="32"/>
        </w:rPr>
      </w:pPr>
      <w:r>
        <w:rPr>
          <w:rFonts w:ascii="仿宋_GB2312" w:hAnsi="宋体" w:hint="eastAsia"/>
          <w:sz w:val="32"/>
          <w:szCs w:val="32"/>
        </w:rPr>
        <w:t>上市公司应当在规定的期间内</w:t>
      </w:r>
      <w:r>
        <w:rPr>
          <w:rFonts w:ascii="仿宋_GB2312" w:hint="eastAsia"/>
          <w:sz w:val="32"/>
          <w:szCs w:val="32"/>
        </w:rPr>
        <w:t>，依照中国证监会和本所的要求编制并披露定期报告。</w:t>
      </w:r>
    </w:p>
    <w:p w14:paraId="03635A62" w14:textId="77777777" w:rsidR="000C29B8" w:rsidRDefault="00000000">
      <w:pPr>
        <w:tabs>
          <w:tab w:val="left" w:pos="1276"/>
          <w:tab w:val="left" w:pos="1418"/>
        </w:tabs>
        <w:spacing w:line="560" w:lineRule="exact"/>
        <w:ind w:firstLineChars="200" w:firstLine="640"/>
        <w:rPr>
          <w:rFonts w:ascii="仿宋_GB2312" w:eastAsia="仿宋_GB2312"/>
          <w:sz w:val="32"/>
          <w:szCs w:val="32"/>
        </w:rPr>
      </w:pPr>
      <w:r>
        <w:rPr>
          <w:rFonts w:ascii="仿宋_GB2312" w:eastAsia="仿宋_GB2312" w:hint="eastAsia"/>
          <w:sz w:val="32"/>
          <w:szCs w:val="32"/>
        </w:rPr>
        <w:t>定期报告包括年度报告、半年度报告和季度报告。</w:t>
      </w:r>
    </w:p>
    <w:p w14:paraId="158F00D9" w14:textId="77777777" w:rsidR="000C29B8" w:rsidRDefault="00000000">
      <w:pPr>
        <w:pStyle w:val="afa"/>
        <w:numPr>
          <w:ilvl w:val="0"/>
          <w:numId w:val="25"/>
        </w:numPr>
        <w:tabs>
          <w:tab w:val="left" w:pos="1276"/>
          <w:tab w:val="left" w:pos="1418"/>
        </w:tabs>
        <w:spacing w:line="560" w:lineRule="exact"/>
        <w:ind w:left="0" w:firstLine="640"/>
        <w:rPr>
          <w:rFonts w:ascii="仿宋_GB2312" w:hAnsi="宋体"/>
          <w:sz w:val="32"/>
          <w:szCs w:val="32"/>
        </w:rPr>
      </w:pPr>
      <w:r>
        <w:rPr>
          <w:rFonts w:ascii="仿宋_GB2312" w:hAnsi="宋体" w:hint="eastAsia"/>
          <w:sz w:val="32"/>
          <w:szCs w:val="32"/>
        </w:rPr>
        <w:t>上市公司应当在每个会计年度结束之日起4个月内披露年度报告，在每个会计年度的上半年结束之日起2个月内披露半年度报告，在每个会计年度前3个月、9个月结束之日起1个月内披露季度报告。第一季度</w:t>
      </w:r>
      <w:proofErr w:type="gramStart"/>
      <w:r>
        <w:rPr>
          <w:rFonts w:ascii="仿宋_GB2312" w:hAnsi="宋体" w:hint="eastAsia"/>
          <w:sz w:val="32"/>
          <w:szCs w:val="32"/>
        </w:rPr>
        <w:t>季度</w:t>
      </w:r>
      <w:proofErr w:type="gramEnd"/>
      <w:r>
        <w:rPr>
          <w:rFonts w:ascii="仿宋_GB2312" w:hAnsi="宋体" w:hint="eastAsia"/>
          <w:sz w:val="32"/>
          <w:szCs w:val="32"/>
        </w:rPr>
        <w:t>报告的披露时间不得早于上一年度</w:t>
      </w:r>
      <w:proofErr w:type="gramStart"/>
      <w:r>
        <w:rPr>
          <w:rFonts w:ascii="仿宋_GB2312" w:hAnsi="宋体" w:hint="eastAsia"/>
          <w:sz w:val="32"/>
          <w:szCs w:val="32"/>
        </w:rPr>
        <w:t>年度</w:t>
      </w:r>
      <w:proofErr w:type="gramEnd"/>
      <w:r>
        <w:rPr>
          <w:rFonts w:ascii="仿宋_GB2312" w:hAnsi="宋体" w:hint="eastAsia"/>
          <w:sz w:val="32"/>
          <w:szCs w:val="32"/>
        </w:rPr>
        <w:t>报告的披露时间。</w:t>
      </w:r>
    </w:p>
    <w:p w14:paraId="2A2054DB" w14:textId="77777777" w:rsidR="000C29B8" w:rsidRDefault="00000000">
      <w:pPr>
        <w:tabs>
          <w:tab w:val="left" w:pos="1276"/>
          <w:tab w:val="left" w:pos="1418"/>
        </w:tabs>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上市公司预计不能在规定期限内披露定期报告的，应当及时公告不能按期披露的原因、解决方案以及预计披露的时间。</w:t>
      </w:r>
    </w:p>
    <w:p w14:paraId="35642F19" w14:textId="77777777" w:rsidR="000C29B8" w:rsidRDefault="00000000">
      <w:pPr>
        <w:pStyle w:val="afa"/>
        <w:numPr>
          <w:ilvl w:val="0"/>
          <w:numId w:val="25"/>
        </w:numPr>
        <w:tabs>
          <w:tab w:val="left" w:pos="1276"/>
          <w:tab w:val="left" w:pos="1418"/>
        </w:tabs>
        <w:spacing w:line="560" w:lineRule="exact"/>
        <w:ind w:left="0" w:firstLine="640"/>
        <w:rPr>
          <w:rFonts w:ascii="仿宋_GB2312" w:hAnsi="宋体"/>
          <w:sz w:val="32"/>
          <w:szCs w:val="32"/>
        </w:rPr>
      </w:pPr>
      <w:r>
        <w:rPr>
          <w:rFonts w:ascii="仿宋_GB2312" w:hAnsi="宋体" w:hint="eastAsia"/>
          <w:sz w:val="32"/>
          <w:szCs w:val="32"/>
        </w:rPr>
        <w:t>上市公司应当向本所预约定期报告的披露时间。</w:t>
      </w:r>
    </w:p>
    <w:p w14:paraId="5F6FAE3E" w14:textId="77777777" w:rsidR="000C29B8" w:rsidRDefault="00000000">
      <w:pPr>
        <w:tabs>
          <w:tab w:val="left" w:pos="1276"/>
          <w:tab w:val="left" w:pos="1418"/>
        </w:tabs>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因故需要变更披露时间的，应当提前5个交易日向本所</w:t>
      </w:r>
      <w:r>
        <w:rPr>
          <w:rFonts w:ascii="仿宋_GB2312" w:eastAsia="仿宋_GB2312" w:hAnsi="宋体" w:hint="eastAsia"/>
          <w:sz w:val="32"/>
          <w:szCs w:val="32"/>
        </w:rPr>
        <w:lastRenderedPageBreak/>
        <w:t>申请变更，本所视情况决定是否予以调整。</w:t>
      </w:r>
    </w:p>
    <w:p w14:paraId="5A7C6A65" w14:textId="77777777" w:rsidR="000C29B8" w:rsidRDefault="00000000">
      <w:pPr>
        <w:pStyle w:val="afa"/>
        <w:numPr>
          <w:ilvl w:val="0"/>
          <w:numId w:val="25"/>
        </w:numPr>
        <w:tabs>
          <w:tab w:val="left" w:pos="1276"/>
          <w:tab w:val="left" w:pos="1418"/>
        </w:tabs>
        <w:spacing w:line="560" w:lineRule="exact"/>
        <w:ind w:left="0" w:firstLine="640"/>
        <w:rPr>
          <w:rFonts w:ascii="仿宋_GB2312"/>
          <w:sz w:val="32"/>
          <w:szCs w:val="32"/>
        </w:rPr>
      </w:pPr>
      <w:r>
        <w:rPr>
          <w:rFonts w:ascii="仿宋_GB2312" w:hint="eastAsia"/>
          <w:sz w:val="32"/>
          <w:szCs w:val="32"/>
        </w:rPr>
        <w:t>上市公司董事会应当确保公司定期报告按时披露。定期报告未经董事会审议、董事会审议未通过或者因故无法形成有关董事会决议的，公司应当披露具体原因和存在的风险、董事会的专项说明。</w:t>
      </w:r>
    </w:p>
    <w:p w14:paraId="720A97C7" w14:textId="77777777" w:rsidR="000C29B8" w:rsidRDefault="00000000">
      <w:pPr>
        <w:pStyle w:val="afa"/>
        <w:tabs>
          <w:tab w:val="left" w:pos="1276"/>
          <w:tab w:val="left" w:pos="1418"/>
        </w:tabs>
        <w:spacing w:line="560" w:lineRule="exact"/>
        <w:ind w:left="640" w:firstLineChars="0" w:firstLine="0"/>
        <w:rPr>
          <w:rFonts w:ascii="仿宋_GB2312"/>
          <w:sz w:val="32"/>
          <w:szCs w:val="32"/>
        </w:rPr>
      </w:pPr>
      <w:r>
        <w:rPr>
          <w:rFonts w:ascii="仿宋_GB2312" w:hint="eastAsia"/>
          <w:sz w:val="32"/>
          <w:szCs w:val="32"/>
        </w:rPr>
        <w:t>公司不得披露未经董事会审议通过的定期报告。</w:t>
      </w:r>
    </w:p>
    <w:p w14:paraId="1B6DAD7F" w14:textId="77777777" w:rsidR="000C29B8" w:rsidRDefault="00000000">
      <w:pPr>
        <w:pStyle w:val="afa"/>
        <w:numPr>
          <w:ilvl w:val="0"/>
          <w:numId w:val="25"/>
        </w:numPr>
        <w:tabs>
          <w:tab w:val="left" w:pos="1276"/>
          <w:tab w:val="left" w:pos="1418"/>
        </w:tabs>
        <w:spacing w:line="560" w:lineRule="exact"/>
        <w:ind w:left="0" w:firstLine="640"/>
        <w:rPr>
          <w:rFonts w:ascii="仿宋_GB2312"/>
          <w:sz w:val="32"/>
          <w:szCs w:val="32"/>
        </w:rPr>
      </w:pPr>
      <w:r>
        <w:rPr>
          <w:rFonts w:ascii="仿宋_GB2312" w:hAnsi="黑体" w:hint="eastAsia"/>
          <w:sz w:val="32"/>
          <w:szCs w:val="32"/>
        </w:rPr>
        <w:t>上市公司</w:t>
      </w:r>
      <w:r>
        <w:rPr>
          <w:rFonts w:ascii="仿宋_GB2312" w:hint="eastAsia"/>
          <w:sz w:val="32"/>
          <w:szCs w:val="32"/>
        </w:rPr>
        <w:t>监事会应当审核定期报告，并以监事会决议的形式说明定期报告编制和审核程序是否符合相关规定，内容是否真实、准确、完整。</w:t>
      </w:r>
    </w:p>
    <w:p w14:paraId="59A5B2E2" w14:textId="77777777" w:rsidR="000C29B8" w:rsidRDefault="00000000">
      <w:pPr>
        <w:pStyle w:val="afa"/>
        <w:numPr>
          <w:ilvl w:val="0"/>
          <w:numId w:val="25"/>
        </w:numPr>
        <w:tabs>
          <w:tab w:val="left" w:pos="1276"/>
          <w:tab w:val="left" w:pos="1418"/>
        </w:tabs>
        <w:spacing w:line="560" w:lineRule="exact"/>
        <w:ind w:left="0" w:firstLine="640"/>
        <w:rPr>
          <w:rFonts w:ascii="仿宋_GB2312"/>
          <w:sz w:val="32"/>
          <w:szCs w:val="32"/>
        </w:rPr>
      </w:pPr>
      <w:r>
        <w:rPr>
          <w:rFonts w:ascii="仿宋_GB2312" w:hint="eastAsia"/>
          <w:sz w:val="32"/>
          <w:szCs w:val="32"/>
        </w:rPr>
        <w:t>上市公司董事、高级管理人员应当对定期报告签署书面意见，保证定期报告真实、准确、完整；对定期报告内容存在异议的，应当说明原因并披露。</w:t>
      </w:r>
    </w:p>
    <w:p w14:paraId="44CC6876" w14:textId="77777777" w:rsidR="000C29B8" w:rsidRDefault="00000000">
      <w:pPr>
        <w:autoSpaceDE w:val="0"/>
        <w:autoSpaceDN w:val="0"/>
        <w:adjustRightInd w:val="0"/>
        <w:snapToGrid w:val="0"/>
        <w:spacing w:line="560" w:lineRule="exact"/>
        <w:ind w:firstLineChars="200" w:firstLine="640"/>
        <w:jc w:val="left"/>
        <w:rPr>
          <w:rFonts w:ascii="仿宋_GB2312" w:eastAsia="仿宋_GB2312"/>
          <w:sz w:val="32"/>
          <w:szCs w:val="32"/>
        </w:rPr>
      </w:pPr>
      <w:r>
        <w:rPr>
          <w:rFonts w:ascii="仿宋_GB2312" w:eastAsia="仿宋_GB2312" w:hint="eastAsia"/>
          <w:sz w:val="32"/>
          <w:szCs w:val="32"/>
        </w:rPr>
        <w:t>董事、高级管理人员不得以任何理由拒绝对定期报告签署书面意见。</w:t>
      </w:r>
    </w:p>
    <w:p w14:paraId="70D040F8" w14:textId="77777777" w:rsidR="000C29B8" w:rsidRDefault="00000000">
      <w:pPr>
        <w:pStyle w:val="afa"/>
        <w:numPr>
          <w:ilvl w:val="0"/>
          <w:numId w:val="25"/>
        </w:numPr>
        <w:tabs>
          <w:tab w:val="left" w:pos="1276"/>
          <w:tab w:val="left" w:pos="1418"/>
        </w:tabs>
        <w:spacing w:line="560" w:lineRule="exact"/>
        <w:ind w:left="0" w:firstLine="640"/>
        <w:rPr>
          <w:rFonts w:ascii="仿宋_GB2312" w:hAnsi="宋体"/>
          <w:sz w:val="32"/>
          <w:szCs w:val="32"/>
        </w:rPr>
      </w:pPr>
      <w:r>
        <w:rPr>
          <w:rFonts w:ascii="仿宋_GB2312" w:hAnsi="宋体" w:hint="eastAsia"/>
          <w:sz w:val="32"/>
          <w:szCs w:val="32"/>
        </w:rPr>
        <w:t>为上市公司定期报告出具审计意见的会计师事务所，应当严格按照注册会计师执业准则以及相关规定发表审计意见，不得无故拖延，影响定期报告按时披露。</w:t>
      </w:r>
    </w:p>
    <w:p w14:paraId="00595C97" w14:textId="77777777" w:rsidR="000C29B8" w:rsidRDefault="00000000">
      <w:pPr>
        <w:pStyle w:val="afa"/>
        <w:numPr>
          <w:ilvl w:val="0"/>
          <w:numId w:val="25"/>
        </w:numPr>
        <w:tabs>
          <w:tab w:val="left" w:pos="1276"/>
          <w:tab w:val="left" w:pos="1418"/>
        </w:tabs>
        <w:spacing w:line="560" w:lineRule="exact"/>
        <w:ind w:left="0" w:firstLine="640"/>
        <w:rPr>
          <w:rFonts w:ascii="仿宋_GB2312" w:hAnsi="宋体"/>
          <w:sz w:val="32"/>
          <w:szCs w:val="32"/>
        </w:rPr>
      </w:pPr>
      <w:r>
        <w:rPr>
          <w:rFonts w:ascii="仿宋_GB2312" w:hAnsi="宋体" w:hint="eastAsia"/>
          <w:sz w:val="32"/>
          <w:szCs w:val="32"/>
        </w:rPr>
        <w:t>上市公司年度报告的财务会计报告应当经具有执行证券、期货相关业务资格的会计师事务所审计。</w:t>
      </w:r>
    </w:p>
    <w:p w14:paraId="7F41AEF2" w14:textId="77777777" w:rsidR="000C29B8" w:rsidRDefault="00000000">
      <w:pPr>
        <w:numPr>
          <w:ilvl w:val="12"/>
          <w:numId w:val="0"/>
        </w:numPr>
        <w:tabs>
          <w:tab w:val="left" w:pos="-540"/>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上市公司拟实施送股或者以资本公积转增股本的，所依据的半年度报告或者季度报告的财务会计报告应当审计；仅实施现金分红的，可免于审计。</w:t>
      </w:r>
    </w:p>
    <w:p w14:paraId="15E16C8F" w14:textId="77777777" w:rsidR="000C29B8" w:rsidRDefault="00000000">
      <w:pPr>
        <w:pStyle w:val="afa"/>
        <w:numPr>
          <w:ilvl w:val="0"/>
          <w:numId w:val="25"/>
        </w:numPr>
        <w:tabs>
          <w:tab w:val="left" w:pos="1276"/>
          <w:tab w:val="left" w:pos="1418"/>
        </w:tabs>
        <w:spacing w:line="560" w:lineRule="exact"/>
        <w:ind w:left="0" w:firstLine="640"/>
        <w:rPr>
          <w:rFonts w:ascii="仿宋_GB2312" w:hAnsi="宋体"/>
          <w:sz w:val="32"/>
          <w:szCs w:val="32"/>
        </w:rPr>
      </w:pPr>
      <w:r>
        <w:rPr>
          <w:rFonts w:ascii="仿宋_GB2312" w:hAnsi="宋体" w:hint="eastAsia"/>
          <w:sz w:val="32"/>
          <w:szCs w:val="32"/>
        </w:rPr>
        <w:t>上市公司财务会计报告被会计师事务所出具非标准审计意见的，按照《公开发行证券的公司信息披露编报</w:t>
      </w:r>
      <w:r>
        <w:rPr>
          <w:rFonts w:ascii="仿宋_GB2312" w:hAnsi="宋体" w:hint="eastAsia"/>
          <w:sz w:val="32"/>
          <w:szCs w:val="32"/>
        </w:rPr>
        <w:lastRenderedPageBreak/>
        <w:t>规则第14号——非标准审计意见及其涉及事项的处理》的规定，公司在披露定期报告的同时，应当披露下列文件：</w:t>
      </w:r>
    </w:p>
    <w:p w14:paraId="040E685E" w14:textId="77777777" w:rsidR="000C29B8" w:rsidRDefault="00000000">
      <w:pPr>
        <w:numPr>
          <w:ilvl w:val="12"/>
          <w:numId w:val="0"/>
        </w:numPr>
        <w:tabs>
          <w:tab w:val="left" w:pos="-540"/>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（一）董事会对审计意见涉及事项的专项说明和决议；</w:t>
      </w:r>
    </w:p>
    <w:p w14:paraId="37C69D64" w14:textId="77777777" w:rsidR="000C29B8" w:rsidRDefault="00000000">
      <w:pPr>
        <w:numPr>
          <w:ilvl w:val="12"/>
          <w:numId w:val="0"/>
        </w:numPr>
        <w:tabs>
          <w:tab w:val="left" w:pos="-540"/>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（二）监事会对董事会专项说明的意见和决议；</w:t>
      </w:r>
    </w:p>
    <w:p w14:paraId="5990C47E" w14:textId="77777777" w:rsidR="000C29B8" w:rsidRDefault="00000000">
      <w:pPr>
        <w:numPr>
          <w:ilvl w:val="12"/>
          <w:numId w:val="0"/>
        </w:numPr>
        <w:tabs>
          <w:tab w:val="left" w:pos="-540"/>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（三）会计师事务所和注册会计师出具的专项说明；</w:t>
      </w:r>
    </w:p>
    <w:p w14:paraId="21CEF456" w14:textId="77777777" w:rsidR="000C29B8" w:rsidRDefault="00000000">
      <w:pPr>
        <w:numPr>
          <w:ilvl w:val="12"/>
          <w:numId w:val="0"/>
        </w:numPr>
        <w:tabs>
          <w:tab w:val="left" w:pos="-540"/>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（四）中国证监会和本所要求的其他文件。</w:t>
      </w:r>
    </w:p>
    <w:p w14:paraId="1B804390" w14:textId="77777777" w:rsidR="000C29B8" w:rsidRDefault="00000000">
      <w:pPr>
        <w:pStyle w:val="afa"/>
        <w:numPr>
          <w:ilvl w:val="0"/>
          <w:numId w:val="25"/>
        </w:numPr>
        <w:tabs>
          <w:tab w:val="left" w:pos="1276"/>
          <w:tab w:val="left" w:pos="1418"/>
        </w:tabs>
        <w:spacing w:line="560" w:lineRule="exact"/>
        <w:ind w:left="0" w:firstLine="640"/>
        <w:rPr>
          <w:rFonts w:ascii="仿宋_GB2312" w:hAnsi="宋体"/>
          <w:sz w:val="32"/>
          <w:szCs w:val="32"/>
        </w:rPr>
      </w:pPr>
      <w:r>
        <w:rPr>
          <w:rFonts w:ascii="仿宋_GB2312" w:hAnsi="宋体" w:hint="eastAsia"/>
          <w:sz w:val="32"/>
          <w:szCs w:val="32"/>
        </w:rPr>
        <w:t>上市公司财务会计报告被会计师事务所出具非标准审计意见，涉及事项属于明显违反会计准则及相关信息披露规定的，上市公司应当对有关事项进行纠正，并及时披露纠正后的财务会计资料和会计师事务所出具的审计报告或专项</w:t>
      </w:r>
      <w:proofErr w:type="gramStart"/>
      <w:r>
        <w:rPr>
          <w:rFonts w:ascii="仿宋_GB2312" w:hAnsi="宋体" w:hint="eastAsia"/>
          <w:sz w:val="32"/>
          <w:szCs w:val="32"/>
        </w:rPr>
        <w:t>鉴证</w:t>
      </w:r>
      <w:proofErr w:type="gramEnd"/>
      <w:r>
        <w:rPr>
          <w:rFonts w:ascii="仿宋_GB2312" w:hAnsi="宋体" w:hint="eastAsia"/>
          <w:sz w:val="32"/>
          <w:szCs w:val="32"/>
        </w:rPr>
        <w:t>报告等有关材料。</w:t>
      </w:r>
    </w:p>
    <w:p w14:paraId="22ACA742" w14:textId="77777777" w:rsidR="000C29B8" w:rsidRDefault="00000000">
      <w:pPr>
        <w:pStyle w:val="afa"/>
        <w:numPr>
          <w:ilvl w:val="0"/>
          <w:numId w:val="25"/>
        </w:numPr>
        <w:tabs>
          <w:tab w:val="left" w:pos="1276"/>
          <w:tab w:val="left" w:pos="1418"/>
        </w:tabs>
        <w:spacing w:line="560" w:lineRule="exact"/>
        <w:ind w:left="0" w:firstLine="640"/>
        <w:rPr>
          <w:rFonts w:ascii="仿宋_GB2312" w:hAnsi="宋体"/>
          <w:sz w:val="32"/>
          <w:szCs w:val="32"/>
        </w:rPr>
      </w:pPr>
      <w:r>
        <w:rPr>
          <w:rFonts w:ascii="仿宋_GB2312" w:hAnsi="宋体" w:hint="eastAsia"/>
          <w:sz w:val="32"/>
          <w:szCs w:val="32"/>
        </w:rPr>
        <w:t>上市公司定期报告存在差错或者虚假记载，被有关机关责令改正或者董事会决定更正的，应当在被责令改正或者董事会</w:t>
      </w:r>
      <w:proofErr w:type="gramStart"/>
      <w:r>
        <w:rPr>
          <w:rFonts w:ascii="仿宋_GB2312" w:hAnsi="宋体" w:hint="eastAsia"/>
          <w:sz w:val="32"/>
          <w:szCs w:val="32"/>
        </w:rPr>
        <w:t>作出</w:t>
      </w:r>
      <w:proofErr w:type="gramEnd"/>
      <w:r>
        <w:rPr>
          <w:rFonts w:ascii="仿宋_GB2312" w:hAnsi="宋体" w:hint="eastAsia"/>
          <w:sz w:val="32"/>
          <w:szCs w:val="32"/>
        </w:rPr>
        <w:t>相应决定后，按照中国证监会《公开发行证券的公司信息披露编报规则第</w:t>
      </w:r>
      <w:r>
        <w:rPr>
          <w:rFonts w:ascii="仿宋_GB2312" w:hAnsi="宋体"/>
          <w:sz w:val="32"/>
          <w:szCs w:val="32"/>
        </w:rPr>
        <w:t>19号</w:t>
      </w:r>
      <w:r>
        <w:rPr>
          <w:rFonts w:ascii="仿宋_GB2312" w:hAnsi="宋体"/>
          <w:sz w:val="32"/>
          <w:szCs w:val="32"/>
        </w:rPr>
        <w:t>——</w:t>
      </w:r>
      <w:r>
        <w:rPr>
          <w:rFonts w:ascii="仿宋_GB2312" w:hAnsi="宋体"/>
          <w:sz w:val="32"/>
          <w:szCs w:val="32"/>
        </w:rPr>
        <w:t>财务信息的更正及相关披露》等有关规定，及时披露。</w:t>
      </w:r>
    </w:p>
    <w:p w14:paraId="54994E71" w14:textId="77777777" w:rsidR="000C29B8" w:rsidRDefault="00000000">
      <w:pPr>
        <w:pStyle w:val="afa"/>
        <w:numPr>
          <w:ilvl w:val="0"/>
          <w:numId w:val="25"/>
        </w:numPr>
        <w:tabs>
          <w:tab w:val="left" w:pos="1276"/>
          <w:tab w:val="left" w:pos="1418"/>
        </w:tabs>
        <w:spacing w:line="560" w:lineRule="exact"/>
        <w:ind w:left="0" w:firstLine="640"/>
        <w:rPr>
          <w:rFonts w:ascii="仿宋_GB2312" w:hAnsi="宋体"/>
          <w:sz w:val="32"/>
          <w:szCs w:val="32"/>
        </w:rPr>
      </w:pPr>
      <w:r>
        <w:rPr>
          <w:rFonts w:ascii="仿宋_GB2312" w:hAnsi="宋体" w:hint="eastAsia"/>
          <w:sz w:val="32"/>
          <w:szCs w:val="32"/>
        </w:rPr>
        <w:t>上市公司未在规定的期限内披露季度报告，公司股票应当于报告披露期限届满当日停牌一天，届满日为</w:t>
      </w:r>
      <w:proofErr w:type="gramStart"/>
      <w:r>
        <w:rPr>
          <w:rFonts w:ascii="仿宋_GB2312" w:hAnsi="宋体" w:hint="eastAsia"/>
          <w:sz w:val="32"/>
          <w:szCs w:val="32"/>
        </w:rPr>
        <w:t>非交易</w:t>
      </w:r>
      <w:proofErr w:type="gramEnd"/>
      <w:r>
        <w:rPr>
          <w:rFonts w:ascii="仿宋_GB2312" w:hAnsi="宋体" w:hint="eastAsia"/>
          <w:sz w:val="32"/>
          <w:szCs w:val="32"/>
        </w:rPr>
        <w:t>日的，于次一交易日停牌一天。</w:t>
      </w:r>
    </w:p>
    <w:p w14:paraId="18631920" w14:textId="77777777" w:rsidR="000C29B8" w:rsidRDefault="00000000">
      <w:pPr>
        <w:tabs>
          <w:tab w:val="left" w:pos="1080"/>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公司未在规定期限内披露年度报告或者半年度报告的，公司股票应当于报告披露期限届满日起停牌，直至公司披露相关定期报告的当日复牌。公告披露日为</w:t>
      </w:r>
      <w:proofErr w:type="gramStart"/>
      <w:r>
        <w:rPr>
          <w:rFonts w:ascii="仿宋_GB2312" w:eastAsia="仿宋_GB2312" w:hAnsi="宋体" w:hint="eastAsia"/>
          <w:sz w:val="32"/>
          <w:szCs w:val="32"/>
        </w:rPr>
        <w:t>非交易</w:t>
      </w:r>
      <w:proofErr w:type="gramEnd"/>
      <w:r>
        <w:rPr>
          <w:rFonts w:ascii="仿宋_GB2312" w:eastAsia="仿宋_GB2312" w:hAnsi="宋体" w:hint="eastAsia"/>
          <w:sz w:val="32"/>
          <w:szCs w:val="32"/>
        </w:rPr>
        <w:t>日的，则在公告披露后的第一个交易日复牌。公司因未披露年度报告或者半年度报告的停牌期限不超过2个月。停牌期间，公司应</w:t>
      </w:r>
      <w:r>
        <w:rPr>
          <w:rFonts w:ascii="仿宋_GB2312" w:eastAsia="仿宋_GB2312" w:hAnsi="宋体" w:hint="eastAsia"/>
          <w:sz w:val="32"/>
          <w:szCs w:val="32"/>
        </w:rPr>
        <w:lastRenderedPageBreak/>
        <w:t>当至少发布3次风险提示公告。</w:t>
      </w:r>
    </w:p>
    <w:p w14:paraId="2CC78C76" w14:textId="77777777" w:rsidR="000C29B8" w:rsidRDefault="00000000">
      <w:pPr>
        <w:tabs>
          <w:tab w:val="left" w:pos="1080"/>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公司未披露季度报告的同时存在未披露年度报告或者半年度报告情形的，公司股票应当按照前款有关规定停牌与复牌。</w:t>
      </w:r>
    </w:p>
    <w:p w14:paraId="7E64484E" w14:textId="77777777" w:rsidR="000C29B8" w:rsidRDefault="00000000">
      <w:pPr>
        <w:pStyle w:val="afa"/>
        <w:numPr>
          <w:ilvl w:val="0"/>
          <w:numId w:val="25"/>
        </w:numPr>
        <w:tabs>
          <w:tab w:val="left" w:pos="1276"/>
          <w:tab w:val="left" w:pos="1418"/>
        </w:tabs>
        <w:spacing w:line="560" w:lineRule="exact"/>
        <w:ind w:left="0" w:firstLine="640"/>
        <w:rPr>
          <w:rFonts w:ascii="仿宋_GB2312" w:hAnsi="宋体"/>
          <w:sz w:val="32"/>
          <w:szCs w:val="32"/>
        </w:rPr>
      </w:pPr>
      <w:r>
        <w:rPr>
          <w:rFonts w:ascii="仿宋_GB2312" w:hAnsi="宋体" w:hint="eastAsia"/>
          <w:sz w:val="32"/>
          <w:szCs w:val="32"/>
        </w:rPr>
        <w:t>上市公司财务会计报告因存在重大会计差错或者虚假记载，被中国证监会责令改正但未在规定期限内改正的，公司股票应当停牌，直至公司披露改正后的财务会计报告当日复牌。公告披露日为</w:t>
      </w:r>
      <w:proofErr w:type="gramStart"/>
      <w:r>
        <w:rPr>
          <w:rFonts w:ascii="仿宋_GB2312" w:hAnsi="宋体" w:hint="eastAsia"/>
          <w:sz w:val="32"/>
          <w:szCs w:val="32"/>
        </w:rPr>
        <w:t>非交易</w:t>
      </w:r>
      <w:proofErr w:type="gramEnd"/>
      <w:r>
        <w:rPr>
          <w:rFonts w:ascii="仿宋_GB2312" w:hAnsi="宋体" w:hint="eastAsia"/>
          <w:sz w:val="32"/>
          <w:szCs w:val="32"/>
        </w:rPr>
        <w:t>日的，则在公告披露后的第一个交易日复牌。</w:t>
      </w:r>
    </w:p>
    <w:p w14:paraId="6836D670" w14:textId="77777777" w:rsidR="000C29B8" w:rsidRDefault="00000000">
      <w:pPr>
        <w:tabs>
          <w:tab w:val="left" w:pos="1276"/>
          <w:tab w:val="left" w:pos="1418"/>
        </w:tabs>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公司因未按要求改正财务会计报告的停牌期限不超过2个月。停牌期间，公司应当至少发布3次风险提示公告。</w:t>
      </w:r>
    </w:p>
    <w:p w14:paraId="1ACD7B81" w14:textId="77777777" w:rsidR="000C29B8" w:rsidRDefault="00000000">
      <w:pPr>
        <w:pStyle w:val="23"/>
        <w:numPr>
          <w:ilvl w:val="1"/>
          <w:numId w:val="1"/>
        </w:numPr>
        <w:ind w:left="0" w:firstLine="643"/>
      </w:pPr>
      <w:bookmarkStart w:id="368" w:name="_Toc15017"/>
      <w:r>
        <w:rPr>
          <w:rFonts w:hint="eastAsia"/>
        </w:rPr>
        <w:t>业绩预告和业绩快报</w:t>
      </w:r>
      <w:bookmarkEnd w:id="368"/>
    </w:p>
    <w:p w14:paraId="5807BE28" w14:textId="77777777" w:rsidR="000C29B8" w:rsidRDefault="00000000">
      <w:pPr>
        <w:numPr>
          <w:ilvl w:val="2"/>
          <w:numId w:val="26"/>
        </w:numPr>
        <w:tabs>
          <w:tab w:val="clear" w:pos="709"/>
          <w:tab w:val="left" w:pos="0"/>
        </w:tabs>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上市公司预计年度经营业绩和财务状况将出现下列情形之一的，应当在会计年度结束之日起1个月内进行业绩预告：</w:t>
      </w:r>
    </w:p>
    <w:p w14:paraId="3C16EA82" w14:textId="77777777" w:rsidR="000C29B8" w:rsidRDefault="00000000">
      <w:pPr>
        <w:numPr>
          <w:ilvl w:val="0"/>
          <w:numId w:val="27"/>
        </w:numPr>
        <w:tabs>
          <w:tab w:val="left" w:pos="-540"/>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净利润为负值；</w:t>
      </w:r>
    </w:p>
    <w:p w14:paraId="562F5F3B" w14:textId="77777777" w:rsidR="000C29B8" w:rsidRDefault="00000000">
      <w:pPr>
        <w:numPr>
          <w:ilvl w:val="12"/>
          <w:numId w:val="0"/>
        </w:numPr>
        <w:tabs>
          <w:tab w:val="left" w:pos="-540"/>
          <w:tab w:val="left" w:pos="4678"/>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（二）净利润实现扭亏为盈；</w:t>
      </w:r>
    </w:p>
    <w:p w14:paraId="72654AC0" w14:textId="77777777" w:rsidR="000C29B8" w:rsidRDefault="00000000">
      <w:pPr>
        <w:numPr>
          <w:ilvl w:val="12"/>
          <w:numId w:val="0"/>
        </w:numPr>
        <w:tabs>
          <w:tab w:val="left" w:pos="-540"/>
          <w:tab w:val="left" w:pos="4678"/>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（三）净利润与上年同期相比上升或者下降50％以上；</w:t>
      </w:r>
    </w:p>
    <w:p w14:paraId="32F18C4E" w14:textId="77777777" w:rsidR="000C29B8" w:rsidRDefault="00000000">
      <w:pPr>
        <w:numPr>
          <w:ilvl w:val="12"/>
          <w:numId w:val="0"/>
        </w:numPr>
        <w:tabs>
          <w:tab w:val="left" w:pos="-540"/>
          <w:tab w:val="left" w:pos="4678"/>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（四）利润总额、净利润或者扣除非经常性损益后的净利润孰低者为负值，且扣除与主营业务无关的业务收入和不具备商业实质的收入后的营业收入低于1亿元；</w:t>
      </w:r>
    </w:p>
    <w:p w14:paraId="77A05D2E" w14:textId="77777777" w:rsidR="000C29B8" w:rsidRDefault="00000000">
      <w:pPr>
        <w:numPr>
          <w:ilvl w:val="12"/>
          <w:numId w:val="0"/>
        </w:numPr>
        <w:tabs>
          <w:tab w:val="left" w:pos="-540"/>
          <w:tab w:val="left" w:pos="4678"/>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（五）期末净资产为负值；</w:t>
      </w:r>
    </w:p>
    <w:p w14:paraId="5E23AD89" w14:textId="77777777" w:rsidR="000C29B8" w:rsidRDefault="00000000">
      <w:pPr>
        <w:numPr>
          <w:ilvl w:val="12"/>
          <w:numId w:val="0"/>
        </w:numPr>
        <w:tabs>
          <w:tab w:val="left" w:pos="-540"/>
          <w:tab w:val="left" w:pos="4678"/>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 xml:space="preserve">（六）本所认定的其他情形。                                                                                                                                                                                                                                                                                                                                                                                                                                                                                                                                                                                                                                                                                                                                                                                                                                              </w:t>
      </w:r>
    </w:p>
    <w:p w14:paraId="19C55C7B" w14:textId="77777777" w:rsidR="000C29B8" w:rsidRDefault="00000000">
      <w:pPr>
        <w:numPr>
          <w:ilvl w:val="12"/>
          <w:numId w:val="0"/>
        </w:numPr>
        <w:tabs>
          <w:tab w:val="left" w:pos="-540"/>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上市公司预计半年度和季度业绩出现前述情形之一的，</w:t>
      </w:r>
      <w:r>
        <w:rPr>
          <w:rFonts w:ascii="仿宋_GB2312" w:eastAsia="仿宋_GB2312" w:hAnsi="宋体" w:hint="eastAsia"/>
          <w:sz w:val="32"/>
          <w:szCs w:val="32"/>
        </w:rPr>
        <w:lastRenderedPageBreak/>
        <w:t>可以进行业绩预告。</w:t>
      </w:r>
    </w:p>
    <w:p w14:paraId="437989E3" w14:textId="77777777" w:rsidR="000C29B8" w:rsidRDefault="00000000">
      <w:pPr>
        <w:numPr>
          <w:ilvl w:val="12"/>
          <w:numId w:val="0"/>
        </w:numPr>
        <w:tabs>
          <w:tab w:val="left" w:pos="-540"/>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上市公司董事、监事、高级管理人员应当及时、全面了解和关注公司经营情况和财务信息，并和会计师事务所进行必要的沟通，审慎判断是否达到本条规定情形。</w:t>
      </w:r>
    </w:p>
    <w:p w14:paraId="28ABB3F1" w14:textId="77777777" w:rsidR="000C29B8" w:rsidRDefault="00000000">
      <w:pPr>
        <w:numPr>
          <w:ilvl w:val="2"/>
          <w:numId w:val="26"/>
        </w:numPr>
        <w:tabs>
          <w:tab w:val="clear" w:pos="709"/>
          <w:tab w:val="left" w:pos="0"/>
        </w:tabs>
        <w:snapToGrid w:val="0"/>
        <w:spacing w:line="560" w:lineRule="exact"/>
        <w:ind w:left="0" w:firstLineChars="200" w:firstLine="640"/>
        <w:rPr>
          <w:rFonts w:ascii="仿宋_GB2312" w:eastAsia="仿宋_GB2312" w:hAnsi="宋体"/>
          <w:sz w:val="32"/>
          <w:szCs w:val="32"/>
        </w:rPr>
      </w:pPr>
      <w:r>
        <w:rPr>
          <w:rFonts w:ascii="仿宋_GB2312" w:eastAsia="仿宋_GB2312" w:hAnsi="黑体" w:hint="eastAsia"/>
          <w:sz w:val="32"/>
          <w:szCs w:val="32"/>
        </w:rPr>
        <w:t>上市公司</w:t>
      </w:r>
      <w:r>
        <w:rPr>
          <w:rFonts w:ascii="仿宋_GB2312" w:eastAsia="仿宋_GB2312" w:hAnsi="宋体" w:hint="eastAsia"/>
          <w:sz w:val="32"/>
          <w:szCs w:val="32"/>
        </w:rPr>
        <w:t>预计不能在会计年度结束之日起2个月内披露年度报告的，应当在该会计年度结束之日起2个月内按照本</w:t>
      </w:r>
      <w:proofErr w:type="gramStart"/>
      <w:r>
        <w:rPr>
          <w:rFonts w:ascii="仿宋_GB2312" w:eastAsia="仿宋_GB2312" w:hAnsi="宋体" w:hint="eastAsia"/>
          <w:sz w:val="32"/>
          <w:szCs w:val="32"/>
        </w:rPr>
        <w:t>规则第</w:t>
      </w:r>
      <w:r>
        <w:rPr>
          <w:rFonts w:ascii="仿宋_GB2312" w:eastAsia="仿宋_GB2312" w:hAnsi="宋体"/>
          <w:sz w:val="32"/>
          <w:szCs w:val="32"/>
        </w:rPr>
        <w:t>6</w:t>
      </w:r>
      <w:proofErr w:type="gramEnd"/>
      <w:r>
        <w:rPr>
          <w:rFonts w:ascii="仿宋_GB2312" w:eastAsia="仿宋_GB2312" w:hAnsi="宋体"/>
          <w:sz w:val="32"/>
          <w:szCs w:val="32"/>
        </w:rPr>
        <w:t>.2.</w:t>
      </w:r>
      <w:r>
        <w:rPr>
          <w:rFonts w:ascii="仿宋_GB2312" w:eastAsia="仿宋_GB2312" w:hAnsi="宋体" w:hint="eastAsia"/>
          <w:sz w:val="32"/>
          <w:szCs w:val="32"/>
        </w:rPr>
        <w:t>5条的要求披露业绩快报。</w:t>
      </w:r>
    </w:p>
    <w:p w14:paraId="5E22DC4C" w14:textId="77777777" w:rsidR="000C29B8" w:rsidRDefault="00000000">
      <w:pPr>
        <w:numPr>
          <w:ilvl w:val="2"/>
          <w:numId w:val="26"/>
        </w:numPr>
        <w:tabs>
          <w:tab w:val="clear" w:pos="709"/>
          <w:tab w:val="left" w:pos="0"/>
        </w:tabs>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上市公司因本</w:t>
      </w:r>
      <w:proofErr w:type="gramStart"/>
      <w:r>
        <w:rPr>
          <w:rFonts w:ascii="仿宋_GB2312" w:eastAsia="仿宋_GB2312" w:hAnsi="宋体" w:hint="eastAsia"/>
          <w:sz w:val="32"/>
          <w:szCs w:val="32"/>
        </w:rPr>
        <w:t>规则第</w:t>
      </w:r>
      <w:r>
        <w:rPr>
          <w:rFonts w:ascii="仿宋_GB2312" w:eastAsia="仿宋_GB2312" w:hAnsi="宋体"/>
          <w:sz w:val="32"/>
          <w:szCs w:val="32"/>
        </w:rPr>
        <w:t>12</w:t>
      </w:r>
      <w:proofErr w:type="gramEnd"/>
      <w:r>
        <w:rPr>
          <w:rFonts w:ascii="仿宋_GB2312" w:eastAsia="仿宋_GB2312" w:hAnsi="宋体"/>
          <w:sz w:val="32"/>
          <w:szCs w:val="32"/>
        </w:rPr>
        <w:t>.</w:t>
      </w:r>
      <w:r>
        <w:rPr>
          <w:rFonts w:ascii="仿宋_GB2312" w:eastAsia="仿宋_GB2312" w:hAnsi="宋体" w:hint="eastAsia"/>
          <w:sz w:val="32"/>
          <w:szCs w:val="32"/>
        </w:rPr>
        <w:t>4</w:t>
      </w:r>
      <w:r>
        <w:rPr>
          <w:rFonts w:ascii="仿宋_GB2312" w:eastAsia="仿宋_GB2312" w:hAnsi="宋体"/>
          <w:sz w:val="32"/>
          <w:szCs w:val="32"/>
        </w:rPr>
        <w:t>.2条规定的情形，其股票被实施退</w:t>
      </w:r>
      <w:proofErr w:type="gramStart"/>
      <w:r>
        <w:rPr>
          <w:rFonts w:ascii="仿宋_GB2312" w:eastAsia="仿宋_GB2312" w:hAnsi="宋体"/>
          <w:sz w:val="32"/>
          <w:szCs w:val="32"/>
        </w:rPr>
        <w:t>市风险</w:t>
      </w:r>
      <w:proofErr w:type="gramEnd"/>
      <w:r>
        <w:rPr>
          <w:rFonts w:ascii="仿宋_GB2312" w:eastAsia="仿宋_GB2312" w:hAnsi="宋体"/>
          <w:sz w:val="32"/>
          <w:szCs w:val="32"/>
        </w:rPr>
        <w:t>警示的，应当于</w:t>
      </w:r>
      <w:r>
        <w:rPr>
          <w:rFonts w:ascii="仿宋_GB2312" w:eastAsia="仿宋_GB2312" w:hAnsi="宋体" w:hint="eastAsia"/>
          <w:sz w:val="32"/>
          <w:szCs w:val="32"/>
        </w:rPr>
        <w:t>会计年度结束之日起1个月内预告全年营业收入、扣除与主营业务无关的业务收入和不具备商业实质的收入后的营业收入、利润总额、净利润、扣除非经常性损益后的净利润和期末净资产。</w:t>
      </w:r>
    </w:p>
    <w:p w14:paraId="7A6A2ED7" w14:textId="77777777" w:rsidR="000C29B8" w:rsidRDefault="00000000">
      <w:pPr>
        <w:numPr>
          <w:ilvl w:val="2"/>
          <w:numId w:val="26"/>
        </w:numPr>
        <w:tabs>
          <w:tab w:val="clear" w:pos="709"/>
          <w:tab w:val="left" w:pos="0"/>
        </w:tabs>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上市公司披露业绩预告后，如预计本期经营业绩或者财务状况与已披露的业绩预告存在下列重大差异情形之一的，应当及时披露业绩预告更正公告，说明具体差异及造成差异的原因：</w:t>
      </w:r>
    </w:p>
    <w:p w14:paraId="5693E923" w14:textId="77777777" w:rsidR="000C29B8" w:rsidRDefault="00000000">
      <w:pPr>
        <w:tabs>
          <w:tab w:val="left" w:pos="0"/>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（一）因本</w:t>
      </w:r>
      <w:proofErr w:type="gramStart"/>
      <w:r>
        <w:rPr>
          <w:rFonts w:ascii="仿宋_GB2312" w:eastAsia="仿宋_GB2312" w:hAnsi="宋体" w:hint="eastAsia"/>
          <w:sz w:val="32"/>
          <w:szCs w:val="32"/>
        </w:rPr>
        <w:t>规则第6</w:t>
      </w:r>
      <w:proofErr w:type="gramEnd"/>
      <w:r>
        <w:rPr>
          <w:rFonts w:ascii="仿宋_GB2312" w:eastAsia="仿宋_GB2312" w:hAnsi="宋体" w:hint="eastAsia"/>
          <w:sz w:val="32"/>
          <w:szCs w:val="32"/>
        </w:rPr>
        <w:t>.2.1条第一款第一项至第三项情形披露业绩预告的，最新预计的净利润与已披露的业绩预告发生方向性变化的，或者较原预计金额或者范围差异较大；</w:t>
      </w:r>
    </w:p>
    <w:p w14:paraId="0363C773" w14:textId="77777777" w:rsidR="000C29B8" w:rsidRDefault="00000000">
      <w:pPr>
        <w:tabs>
          <w:tab w:val="left" w:pos="0"/>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（二）因本</w:t>
      </w:r>
      <w:proofErr w:type="gramStart"/>
      <w:r>
        <w:rPr>
          <w:rFonts w:ascii="仿宋_GB2312" w:eastAsia="仿宋_GB2312" w:hAnsi="宋体" w:hint="eastAsia"/>
          <w:sz w:val="32"/>
          <w:szCs w:val="32"/>
        </w:rPr>
        <w:t>规则第6</w:t>
      </w:r>
      <w:proofErr w:type="gramEnd"/>
      <w:r>
        <w:rPr>
          <w:rFonts w:ascii="仿宋_GB2312" w:eastAsia="仿宋_GB2312" w:hAnsi="宋体" w:hint="eastAsia"/>
          <w:sz w:val="32"/>
          <w:szCs w:val="32"/>
        </w:rPr>
        <w:t>.2.1条第一款第四项、第五项情形披露业绩预告的，最新预计不触及第6.2.1条第一款第四项、第五项的情形；</w:t>
      </w:r>
    </w:p>
    <w:p w14:paraId="25E73130" w14:textId="77777777" w:rsidR="000C29B8" w:rsidRDefault="00000000">
      <w:pPr>
        <w:tabs>
          <w:tab w:val="left" w:pos="0"/>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（三）因本</w:t>
      </w:r>
      <w:proofErr w:type="gramStart"/>
      <w:r>
        <w:rPr>
          <w:rFonts w:ascii="仿宋_GB2312" w:eastAsia="仿宋_GB2312" w:hAnsi="宋体" w:hint="eastAsia"/>
          <w:sz w:val="32"/>
          <w:szCs w:val="32"/>
        </w:rPr>
        <w:t>规则第6</w:t>
      </w:r>
      <w:proofErr w:type="gramEnd"/>
      <w:r>
        <w:rPr>
          <w:rFonts w:ascii="仿宋_GB2312" w:eastAsia="仿宋_GB2312" w:hAnsi="宋体" w:hint="eastAsia"/>
          <w:sz w:val="32"/>
          <w:szCs w:val="32"/>
        </w:rPr>
        <w:t>.2.3条情形披露业绩预告的，最新预计的相关财务指标与已披露的业绩预告发生方向性变化</w:t>
      </w:r>
      <w:r>
        <w:rPr>
          <w:rFonts w:ascii="仿宋_GB2312" w:eastAsia="仿宋_GB2312" w:hAnsi="宋体" w:hint="eastAsia"/>
          <w:sz w:val="32"/>
          <w:szCs w:val="32"/>
        </w:rPr>
        <w:lastRenderedPageBreak/>
        <w:t>的，或者较原预计金额或者范围差异较大；</w:t>
      </w:r>
    </w:p>
    <w:p w14:paraId="3156D0EF" w14:textId="77777777" w:rsidR="000C29B8" w:rsidRDefault="00000000">
      <w:pPr>
        <w:tabs>
          <w:tab w:val="left" w:pos="0"/>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（四）本所规定的其他情形。</w:t>
      </w:r>
    </w:p>
    <w:p w14:paraId="6A9A3A23" w14:textId="77777777" w:rsidR="000C29B8" w:rsidRDefault="00000000">
      <w:pPr>
        <w:numPr>
          <w:ilvl w:val="2"/>
          <w:numId w:val="26"/>
        </w:numPr>
        <w:tabs>
          <w:tab w:val="clear" w:pos="709"/>
          <w:tab w:val="left" w:pos="0"/>
        </w:tabs>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上市公司可以在定期报告披露前发布业绩快报，披露本期</w:t>
      </w:r>
      <w:proofErr w:type="gramStart"/>
      <w:r>
        <w:rPr>
          <w:rFonts w:ascii="仿宋_GB2312" w:eastAsia="仿宋_GB2312" w:hAnsi="宋体" w:hint="eastAsia"/>
          <w:sz w:val="32"/>
          <w:szCs w:val="32"/>
        </w:rPr>
        <w:t>及上年</w:t>
      </w:r>
      <w:proofErr w:type="gramEnd"/>
      <w:r>
        <w:rPr>
          <w:rFonts w:ascii="仿宋_GB2312" w:eastAsia="仿宋_GB2312" w:hAnsi="宋体" w:hint="eastAsia"/>
          <w:sz w:val="32"/>
          <w:szCs w:val="32"/>
        </w:rPr>
        <w:t>同期营业收入、营业利润、利润总额、净利润、总资产、净资产、每股收益、每股净资产和净资产收益率等主要财务数据和指标。</w:t>
      </w:r>
    </w:p>
    <w:p w14:paraId="39B53E56" w14:textId="77777777" w:rsidR="000C29B8" w:rsidRDefault="00000000">
      <w:pPr>
        <w:numPr>
          <w:ilvl w:val="12"/>
          <w:numId w:val="0"/>
        </w:numPr>
        <w:tabs>
          <w:tab w:val="left" w:pos="-540"/>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上市公司在定期报告披露前向国家有关机关报送未公开的定期财务数据，预计无法保密的，应当及时发布业绩快报。</w:t>
      </w:r>
    </w:p>
    <w:p w14:paraId="7925391D" w14:textId="77777777" w:rsidR="000C29B8" w:rsidRDefault="00000000">
      <w:pPr>
        <w:numPr>
          <w:ilvl w:val="12"/>
          <w:numId w:val="0"/>
        </w:numPr>
        <w:tabs>
          <w:tab w:val="left" w:pos="-540"/>
        </w:tabs>
        <w:snapToGrid w:val="0"/>
        <w:spacing w:line="560" w:lineRule="exact"/>
        <w:ind w:firstLineChars="200" w:firstLine="640"/>
        <w:rPr>
          <w:rFonts w:ascii="仿宋_GB2312" w:eastAsia="仿宋_GB2312" w:hAnsi="宋体"/>
          <w:sz w:val="32"/>
          <w:szCs w:val="32"/>
        </w:rPr>
      </w:pPr>
      <w:r>
        <w:rPr>
          <w:rFonts w:ascii="仿宋_GB2312" w:eastAsia="仿宋_GB2312" w:hint="eastAsia"/>
          <w:sz w:val="32"/>
          <w:szCs w:val="32"/>
        </w:rPr>
        <w:t>定期报告披露前出现业绩提前泄露，或者因业绩传闻导致公司股票交易异常</w:t>
      </w:r>
      <w:r>
        <w:rPr>
          <w:rFonts w:ascii="仿宋_GB2312" w:eastAsia="仿宋_GB2312"/>
          <w:sz w:val="32"/>
          <w:szCs w:val="32"/>
        </w:rPr>
        <w:t>波动</w:t>
      </w:r>
      <w:r>
        <w:rPr>
          <w:rFonts w:ascii="仿宋_GB2312" w:eastAsia="仿宋_GB2312" w:hint="eastAsia"/>
          <w:sz w:val="32"/>
          <w:szCs w:val="32"/>
        </w:rPr>
        <w:t>的，上市公司应当及时披露业绩快报。</w:t>
      </w:r>
    </w:p>
    <w:p w14:paraId="240CFF81" w14:textId="77777777" w:rsidR="000C29B8" w:rsidRDefault="00000000">
      <w:pPr>
        <w:numPr>
          <w:ilvl w:val="2"/>
          <w:numId w:val="26"/>
        </w:numPr>
        <w:tabs>
          <w:tab w:val="clear" w:pos="709"/>
          <w:tab w:val="left" w:pos="0"/>
        </w:tabs>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上市公司应当保证业绩快报与定期报告披露的财务数据和指标不存在重大差异。</w:t>
      </w:r>
    </w:p>
    <w:p w14:paraId="21B2B5FB" w14:textId="77777777" w:rsidR="000C29B8" w:rsidRDefault="00000000">
      <w:pPr>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定期报告披露前，上市公司发现业绩快报与定期报告财务数据和指标差异幅度达到10％以上的，应当及时披露更正公告。</w:t>
      </w:r>
    </w:p>
    <w:p w14:paraId="5FFC27E9" w14:textId="77777777" w:rsidR="000C29B8" w:rsidRDefault="000C29B8">
      <w:pPr>
        <w:snapToGrid w:val="0"/>
        <w:spacing w:line="560" w:lineRule="exact"/>
        <w:ind w:firstLineChars="200" w:firstLine="640"/>
        <w:rPr>
          <w:rFonts w:ascii="仿宋_GB2312" w:eastAsia="仿宋_GB2312" w:hAnsi="宋体"/>
          <w:sz w:val="32"/>
          <w:szCs w:val="32"/>
        </w:rPr>
      </w:pPr>
    </w:p>
    <w:p w14:paraId="67940BA8" w14:textId="77777777" w:rsidR="000C29B8" w:rsidRDefault="00000000">
      <w:pPr>
        <w:pStyle w:val="6"/>
        <w:rPr>
          <w:b/>
        </w:rPr>
      </w:pPr>
      <w:bookmarkStart w:id="369" w:name="_Toc2065"/>
      <w:r>
        <w:rPr>
          <w:rFonts w:hint="eastAsia"/>
        </w:rPr>
        <w:t>应当披露的交易</w:t>
      </w:r>
      <w:bookmarkEnd w:id="369"/>
    </w:p>
    <w:p w14:paraId="35900918" w14:textId="77777777" w:rsidR="000C29B8" w:rsidRDefault="00000000">
      <w:pPr>
        <w:pStyle w:val="23"/>
        <w:numPr>
          <w:ilvl w:val="1"/>
          <w:numId w:val="1"/>
        </w:numPr>
        <w:ind w:left="0" w:firstLine="643"/>
      </w:pPr>
      <w:bookmarkStart w:id="370" w:name="_Toc965"/>
      <w:r>
        <w:rPr>
          <w:rFonts w:hint="eastAsia"/>
        </w:rPr>
        <w:t>重大交易</w:t>
      </w:r>
      <w:bookmarkEnd w:id="370"/>
    </w:p>
    <w:p w14:paraId="71B9A81F" w14:textId="77777777" w:rsidR="000C29B8" w:rsidRDefault="00000000">
      <w:pPr>
        <w:numPr>
          <w:ilvl w:val="2"/>
          <w:numId w:val="28"/>
        </w:numPr>
        <w:tabs>
          <w:tab w:val="left" w:pos="1276"/>
          <w:tab w:val="left" w:pos="1418"/>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本章所称“交易”包括下列事项：</w:t>
      </w:r>
    </w:p>
    <w:p w14:paraId="7A739542"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（一）购买或者出售资产；</w:t>
      </w:r>
    </w:p>
    <w:p w14:paraId="3F3209AD"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（二）对外投资（购买银行理财产品的除外）；</w:t>
      </w:r>
    </w:p>
    <w:p w14:paraId="7DA9FFB2"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（三）</w:t>
      </w:r>
      <w:r>
        <w:rPr>
          <w:rFonts w:ascii="仿宋_GB2312" w:eastAsia="仿宋_GB2312" w:hint="eastAsia"/>
          <w:sz w:val="32"/>
          <w:szCs w:val="32"/>
        </w:rPr>
        <w:t>转让或受让研发项目</w:t>
      </w:r>
      <w:r>
        <w:rPr>
          <w:rFonts w:ascii="仿宋_GB2312" w:eastAsia="仿宋_GB2312" w:hAnsi="宋体" w:hint="eastAsia"/>
          <w:sz w:val="32"/>
          <w:szCs w:val="32"/>
        </w:rPr>
        <w:t>；</w:t>
      </w:r>
    </w:p>
    <w:p w14:paraId="7DC3454C"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（四）签订许可使用协议；</w:t>
      </w:r>
    </w:p>
    <w:p w14:paraId="47467BB4"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（五）提供担保；</w:t>
      </w:r>
    </w:p>
    <w:p w14:paraId="76049569"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（六）租入或者租出资产；</w:t>
      </w:r>
    </w:p>
    <w:p w14:paraId="28E4C200"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（七）委托或者受托管理资产和业务；</w:t>
      </w:r>
    </w:p>
    <w:p w14:paraId="6AF3405B"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（八）赠与或者受赠资产；</w:t>
      </w:r>
    </w:p>
    <w:p w14:paraId="10F8D268"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（九）债权、债务重组；</w:t>
      </w:r>
    </w:p>
    <w:p w14:paraId="34AC9043"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（十）提供财务资助；</w:t>
      </w:r>
    </w:p>
    <w:p w14:paraId="5B2721D2"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（十一）本所认定的其他交易。</w:t>
      </w:r>
    </w:p>
    <w:p w14:paraId="07495A12"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上述购买或者出售资产，不包括购买原材料、燃料和动力，以及出售产品或商品等与日常经营相关的交易行为。</w:t>
      </w:r>
    </w:p>
    <w:p w14:paraId="241123C8" w14:textId="77777777" w:rsidR="000C29B8" w:rsidRDefault="00000000">
      <w:pPr>
        <w:numPr>
          <w:ilvl w:val="2"/>
          <w:numId w:val="28"/>
        </w:numPr>
        <w:tabs>
          <w:tab w:val="clear" w:pos="1107"/>
          <w:tab w:val="left" w:pos="709"/>
          <w:tab w:val="left" w:pos="1276"/>
          <w:tab w:val="left" w:pos="1418"/>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 xml:space="preserve">上市公司发生的交易（提供担保除外）达到下列标准之一的，应当及时披露：　</w:t>
      </w:r>
    </w:p>
    <w:p w14:paraId="40966ED2" w14:textId="77777777" w:rsidR="000C29B8" w:rsidRDefault="00000000">
      <w:pPr>
        <w:pStyle w:val="afa"/>
        <w:numPr>
          <w:ilvl w:val="3"/>
          <w:numId w:val="29"/>
        </w:numPr>
        <w:tabs>
          <w:tab w:val="left" w:pos="1418"/>
        </w:tabs>
        <w:autoSpaceDE w:val="0"/>
        <w:autoSpaceDN w:val="0"/>
        <w:adjustRightInd w:val="0"/>
        <w:snapToGrid w:val="0"/>
        <w:spacing w:line="560" w:lineRule="exact"/>
        <w:ind w:left="0" w:firstLineChars="0" w:firstLine="709"/>
        <w:rPr>
          <w:rFonts w:ascii="仿宋_GB2312" w:hAnsi="宋体"/>
          <w:sz w:val="32"/>
          <w:szCs w:val="32"/>
        </w:rPr>
      </w:pPr>
      <w:r>
        <w:rPr>
          <w:rFonts w:ascii="仿宋_GB2312" w:hAnsi="宋体" w:hint="eastAsia"/>
          <w:sz w:val="32"/>
          <w:szCs w:val="32"/>
        </w:rPr>
        <w:t>交易涉及的资产总额（同时存在账面值和评估值的，以高者为准）占上市公司最近一期经审计总资产的10%以上；</w:t>
      </w:r>
    </w:p>
    <w:p w14:paraId="66264CD9" w14:textId="77777777" w:rsidR="000C29B8" w:rsidRDefault="00000000">
      <w:pPr>
        <w:pStyle w:val="afa"/>
        <w:numPr>
          <w:ilvl w:val="3"/>
          <w:numId w:val="29"/>
        </w:numPr>
        <w:tabs>
          <w:tab w:val="left" w:pos="1418"/>
        </w:tabs>
        <w:autoSpaceDE w:val="0"/>
        <w:autoSpaceDN w:val="0"/>
        <w:adjustRightInd w:val="0"/>
        <w:snapToGrid w:val="0"/>
        <w:spacing w:line="560" w:lineRule="exact"/>
        <w:ind w:left="0" w:firstLineChars="0" w:firstLine="709"/>
        <w:rPr>
          <w:rFonts w:ascii="仿宋_GB2312" w:hAnsi="宋体"/>
          <w:sz w:val="32"/>
          <w:szCs w:val="32"/>
        </w:rPr>
      </w:pPr>
      <w:r>
        <w:rPr>
          <w:rFonts w:ascii="仿宋_GB2312" w:hAnsi="宋体" w:hint="eastAsia"/>
          <w:sz w:val="32"/>
          <w:szCs w:val="32"/>
        </w:rPr>
        <w:t>交易的成交金额占上市公司市值的10%以上；</w:t>
      </w:r>
    </w:p>
    <w:p w14:paraId="665F0383" w14:textId="77777777" w:rsidR="000C29B8" w:rsidRDefault="00000000">
      <w:pPr>
        <w:pStyle w:val="afa"/>
        <w:numPr>
          <w:ilvl w:val="3"/>
          <w:numId w:val="29"/>
        </w:numPr>
        <w:tabs>
          <w:tab w:val="left" w:pos="1418"/>
        </w:tabs>
        <w:autoSpaceDE w:val="0"/>
        <w:autoSpaceDN w:val="0"/>
        <w:adjustRightInd w:val="0"/>
        <w:snapToGrid w:val="0"/>
        <w:spacing w:line="560" w:lineRule="exact"/>
        <w:ind w:left="0" w:firstLineChars="0" w:firstLine="709"/>
        <w:rPr>
          <w:rFonts w:ascii="仿宋_GB2312" w:hAnsi="宋体"/>
          <w:sz w:val="32"/>
          <w:szCs w:val="32"/>
        </w:rPr>
      </w:pPr>
      <w:r>
        <w:rPr>
          <w:rFonts w:ascii="仿宋_GB2312" w:hAnsi="宋体" w:hint="eastAsia"/>
          <w:sz w:val="32"/>
          <w:szCs w:val="32"/>
        </w:rPr>
        <w:t>交易标的（如股权）的最近一个会计年度资产净额占上市公司市值的10%以上；</w:t>
      </w:r>
    </w:p>
    <w:p w14:paraId="66169AE5" w14:textId="77777777" w:rsidR="000C29B8" w:rsidRDefault="00000000">
      <w:pPr>
        <w:pStyle w:val="afa"/>
        <w:numPr>
          <w:ilvl w:val="3"/>
          <w:numId w:val="29"/>
        </w:numPr>
        <w:tabs>
          <w:tab w:val="left" w:pos="1418"/>
        </w:tabs>
        <w:autoSpaceDE w:val="0"/>
        <w:autoSpaceDN w:val="0"/>
        <w:adjustRightInd w:val="0"/>
        <w:snapToGrid w:val="0"/>
        <w:spacing w:line="560" w:lineRule="exact"/>
        <w:ind w:left="0" w:firstLineChars="0" w:firstLine="709"/>
        <w:rPr>
          <w:rFonts w:ascii="仿宋_GB2312" w:hAnsi="宋体"/>
          <w:sz w:val="32"/>
          <w:szCs w:val="32"/>
        </w:rPr>
      </w:pPr>
      <w:r>
        <w:rPr>
          <w:rFonts w:ascii="仿宋_GB2312" w:hAnsi="宋体" w:hint="eastAsia"/>
          <w:sz w:val="32"/>
          <w:szCs w:val="32"/>
        </w:rPr>
        <w:t>交易标的（如股权）最近一个会计年度相关的营业收入占上市公司最近一个会计年度经审计营业收入的10％以上，且超过1000万元；</w:t>
      </w:r>
    </w:p>
    <w:p w14:paraId="0C412906" w14:textId="77777777" w:rsidR="000C29B8" w:rsidRDefault="00000000">
      <w:pPr>
        <w:pStyle w:val="afa"/>
        <w:numPr>
          <w:ilvl w:val="3"/>
          <w:numId w:val="29"/>
        </w:numPr>
        <w:tabs>
          <w:tab w:val="left" w:pos="1418"/>
        </w:tabs>
        <w:autoSpaceDE w:val="0"/>
        <w:autoSpaceDN w:val="0"/>
        <w:adjustRightInd w:val="0"/>
        <w:snapToGrid w:val="0"/>
        <w:spacing w:line="560" w:lineRule="exact"/>
        <w:ind w:left="0" w:firstLineChars="0" w:firstLine="709"/>
        <w:rPr>
          <w:rFonts w:ascii="仿宋_GB2312" w:hAnsi="宋体"/>
          <w:sz w:val="32"/>
          <w:szCs w:val="32"/>
        </w:rPr>
      </w:pPr>
      <w:r>
        <w:rPr>
          <w:rFonts w:ascii="仿宋_GB2312" w:hAnsi="宋体" w:hint="eastAsia"/>
          <w:sz w:val="32"/>
          <w:szCs w:val="32"/>
        </w:rPr>
        <w:t>交易产生的利润占上市公司最近一个会计年度经审计净利润的10％以上，且超过100万元;</w:t>
      </w:r>
    </w:p>
    <w:p w14:paraId="3ACF78E3" w14:textId="77777777" w:rsidR="000C29B8" w:rsidRDefault="00000000">
      <w:pPr>
        <w:pStyle w:val="afa"/>
        <w:numPr>
          <w:ilvl w:val="3"/>
          <w:numId w:val="29"/>
        </w:numPr>
        <w:tabs>
          <w:tab w:val="left" w:pos="1418"/>
        </w:tabs>
        <w:autoSpaceDE w:val="0"/>
        <w:autoSpaceDN w:val="0"/>
        <w:adjustRightInd w:val="0"/>
        <w:snapToGrid w:val="0"/>
        <w:spacing w:line="560" w:lineRule="exact"/>
        <w:ind w:left="0" w:firstLineChars="0" w:firstLine="709"/>
        <w:rPr>
          <w:rFonts w:ascii="仿宋_GB2312" w:hAnsi="宋体"/>
          <w:sz w:val="32"/>
          <w:szCs w:val="32"/>
        </w:rPr>
      </w:pPr>
      <w:r>
        <w:rPr>
          <w:rFonts w:ascii="仿宋_GB2312" w:hAnsi="宋体" w:hint="eastAsia"/>
          <w:sz w:val="32"/>
          <w:szCs w:val="32"/>
        </w:rPr>
        <w:t>交易标的（如股权）最近一个会计年度相关的净</w:t>
      </w:r>
      <w:r>
        <w:rPr>
          <w:rFonts w:ascii="仿宋_GB2312" w:hAnsi="宋体" w:hint="eastAsia"/>
          <w:sz w:val="32"/>
          <w:szCs w:val="32"/>
        </w:rPr>
        <w:lastRenderedPageBreak/>
        <w:t>利润占上市公司最近一个会计年度经审计净利润的10%以上，且超过100万元。</w:t>
      </w:r>
    </w:p>
    <w:p w14:paraId="445D6EA9" w14:textId="77777777" w:rsidR="000C29B8" w:rsidRDefault="00000000">
      <w:pPr>
        <w:numPr>
          <w:ilvl w:val="2"/>
          <w:numId w:val="28"/>
        </w:numPr>
        <w:tabs>
          <w:tab w:val="clear" w:pos="1107"/>
          <w:tab w:val="left" w:pos="709"/>
          <w:tab w:val="left" w:pos="1276"/>
          <w:tab w:val="left" w:pos="1418"/>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上市公司发生的交易（提供担保除外）达到下列标准之一的，应当提交股东大会审议：</w:t>
      </w:r>
    </w:p>
    <w:p w14:paraId="4F6B2D33" w14:textId="77777777" w:rsidR="000C29B8" w:rsidRDefault="00000000">
      <w:pPr>
        <w:pStyle w:val="afa"/>
        <w:numPr>
          <w:ilvl w:val="0"/>
          <w:numId w:val="30"/>
        </w:numPr>
        <w:tabs>
          <w:tab w:val="left" w:pos="1418"/>
          <w:tab w:val="left" w:pos="1701"/>
          <w:tab w:val="left" w:pos="1843"/>
        </w:tabs>
        <w:autoSpaceDE w:val="0"/>
        <w:autoSpaceDN w:val="0"/>
        <w:adjustRightInd w:val="0"/>
        <w:snapToGrid w:val="0"/>
        <w:spacing w:line="560" w:lineRule="exact"/>
        <w:ind w:left="0" w:firstLineChars="0" w:firstLine="709"/>
        <w:rPr>
          <w:rFonts w:ascii="仿宋_GB2312" w:hAnsi="宋体"/>
          <w:sz w:val="32"/>
          <w:szCs w:val="32"/>
        </w:rPr>
      </w:pPr>
      <w:r>
        <w:rPr>
          <w:rFonts w:ascii="仿宋_GB2312" w:hAnsi="宋体" w:hint="eastAsia"/>
          <w:sz w:val="32"/>
          <w:szCs w:val="32"/>
        </w:rPr>
        <w:t>交易涉及的资产总额（同时存在账面值和评估值的，以高者为准）占上市公司最近一期经审计总资产的50%以上；</w:t>
      </w:r>
    </w:p>
    <w:p w14:paraId="5DB1D544" w14:textId="77777777" w:rsidR="000C29B8" w:rsidRDefault="00000000">
      <w:pPr>
        <w:pStyle w:val="afa"/>
        <w:numPr>
          <w:ilvl w:val="0"/>
          <w:numId w:val="30"/>
        </w:numPr>
        <w:tabs>
          <w:tab w:val="left" w:pos="1418"/>
          <w:tab w:val="left" w:pos="1701"/>
          <w:tab w:val="left" w:pos="1843"/>
        </w:tabs>
        <w:autoSpaceDE w:val="0"/>
        <w:autoSpaceDN w:val="0"/>
        <w:adjustRightInd w:val="0"/>
        <w:snapToGrid w:val="0"/>
        <w:spacing w:line="560" w:lineRule="exact"/>
        <w:ind w:left="0" w:firstLineChars="0" w:firstLine="709"/>
        <w:rPr>
          <w:rFonts w:ascii="仿宋_GB2312" w:hAnsi="宋体"/>
          <w:sz w:val="32"/>
          <w:szCs w:val="32"/>
        </w:rPr>
      </w:pPr>
      <w:r>
        <w:rPr>
          <w:rFonts w:ascii="仿宋_GB2312" w:hAnsi="宋体" w:hint="eastAsia"/>
          <w:sz w:val="32"/>
          <w:szCs w:val="32"/>
        </w:rPr>
        <w:t>交易的成交金额占上市公司市值的50％以上；</w:t>
      </w:r>
    </w:p>
    <w:p w14:paraId="0A4F8672" w14:textId="77777777" w:rsidR="000C29B8" w:rsidRDefault="00000000">
      <w:pPr>
        <w:pStyle w:val="afa"/>
        <w:numPr>
          <w:ilvl w:val="0"/>
          <w:numId w:val="30"/>
        </w:numPr>
        <w:tabs>
          <w:tab w:val="left" w:pos="1418"/>
          <w:tab w:val="left" w:pos="1701"/>
          <w:tab w:val="left" w:pos="1843"/>
        </w:tabs>
        <w:autoSpaceDE w:val="0"/>
        <w:autoSpaceDN w:val="0"/>
        <w:adjustRightInd w:val="0"/>
        <w:snapToGrid w:val="0"/>
        <w:spacing w:line="560" w:lineRule="exact"/>
        <w:ind w:left="0" w:firstLineChars="0" w:firstLine="709"/>
        <w:rPr>
          <w:rFonts w:ascii="仿宋_GB2312" w:hAnsi="宋体"/>
          <w:sz w:val="32"/>
          <w:szCs w:val="32"/>
        </w:rPr>
      </w:pPr>
      <w:r>
        <w:rPr>
          <w:rFonts w:ascii="仿宋_GB2312" w:hAnsi="宋体" w:hint="eastAsia"/>
          <w:sz w:val="32"/>
          <w:szCs w:val="32"/>
        </w:rPr>
        <w:t>交易标的（如股权）的最近一个会计年度资产净额占上市公司市值的50%以上；</w:t>
      </w:r>
    </w:p>
    <w:p w14:paraId="27E576BE" w14:textId="77777777" w:rsidR="000C29B8" w:rsidRDefault="00000000">
      <w:pPr>
        <w:pStyle w:val="afa"/>
        <w:numPr>
          <w:ilvl w:val="0"/>
          <w:numId w:val="30"/>
        </w:numPr>
        <w:tabs>
          <w:tab w:val="left" w:pos="1418"/>
          <w:tab w:val="left" w:pos="1701"/>
          <w:tab w:val="left" w:pos="1843"/>
        </w:tabs>
        <w:autoSpaceDE w:val="0"/>
        <w:autoSpaceDN w:val="0"/>
        <w:adjustRightInd w:val="0"/>
        <w:snapToGrid w:val="0"/>
        <w:spacing w:line="560" w:lineRule="exact"/>
        <w:ind w:left="0" w:firstLineChars="0" w:firstLine="709"/>
        <w:rPr>
          <w:rFonts w:ascii="仿宋_GB2312" w:hAnsi="宋体"/>
          <w:sz w:val="32"/>
          <w:szCs w:val="32"/>
        </w:rPr>
      </w:pPr>
      <w:r>
        <w:rPr>
          <w:rFonts w:ascii="仿宋_GB2312" w:hAnsi="宋体" w:hint="eastAsia"/>
          <w:sz w:val="32"/>
          <w:szCs w:val="32"/>
        </w:rPr>
        <w:t>交易标的（如股权）最近一个会计年度相关的营业收入占上市公司最近一个会计年度经审计营业收入的</w:t>
      </w:r>
      <w:r>
        <w:rPr>
          <w:rFonts w:ascii="仿宋_GB2312" w:hAnsi="宋体"/>
          <w:sz w:val="32"/>
          <w:szCs w:val="32"/>
        </w:rPr>
        <w:t>50％</w:t>
      </w:r>
      <w:r>
        <w:rPr>
          <w:rFonts w:ascii="仿宋_GB2312" w:hAnsi="宋体" w:hint="eastAsia"/>
          <w:sz w:val="32"/>
          <w:szCs w:val="32"/>
        </w:rPr>
        <w:t>以上，且超过5000万元；</w:t>
      </w:r>
    </w:p>
    <w:p w14:paraId="29091AC3" w14:textId="77777777" w:rsidR="000C29B8" w:rsidRDefault="00000000">
      <w:pPr>
        <w:pStyle w:val="afa"/>
        <w:numPr>
          <w:ilvl w:val="0"/>
          <w:numId w:val="30"/>
        </w:numPr>
        <w:tabs>
          <w:tab w:val="left" w:pos="1418"/>
          <w:tab w:val="left" w:pos="1701"/>
          <w:tab w:val="left" w:pos="1843"/>
        </w:tabs>
        <w:autoSpaceDE w:val="0"/>
        <w:autoSpaceDN w:val="0"/>
        <w:adjustRightInd w:val="0"/>
        <w:snapToGrid w:val="0"/>
        <w:spacing w:line="560" w:lineRule="exact"/>
        <w:ind w:left="0" w:firstLineChars="0" w:firstLine="709"/>
        <w:rPr>
          <w:rFonts w:ascii="仿宋_GB2312" w:hAnsi="宋体"/>
          <w:sz w:val="32"/>
          <w:szCs w:val="32"/>
        </w:rPr>
      </w:pPr>
      <w:r>
        <w:rPr>
          <w:rFonts w:ascii="仿宋_GB2312" w:hAnsi="宋体" w:hint="eastAsia"/>
          <w:sz w:val="32"/>
          <w:szCs w:val="32"/>
        </w:rPr>
        <w:t>交易产生的利润占上市公司最近一个会计年度经审计净利润的50％以上，且超过500万元；</w:t>
      </w:r>
    </w:p>
    <w:p w14:paraId="5D54661B" w14:textId="77777777" w:rsidR="000C29B8" w:rsidRDefault="00000000">
      <w:pPr>
        <w:pStyle w:val="afa"/>
        <w:numPr>
          <w:ilvl w:val="0"/>
          <w:numId w:val="30"/>
        </w:numPr>
        <w:tabs>
          <w:tab w:val="left" w:pos="1418"/>
          <w:tab w:val="left" w:pos="1701"/>
          <w:tab w:val="left" w:pos="1843"/>
        </w:tabs>
        <w:autoSpaceDE w:val="0"/>
        <w:autoSpaceDN w:val="0"/>
        <w:adjustRightInd w:val="0"/>
        <w:snapToGrid w:val="0"/>
        <w:spacing w:line="560" w:lineRule="exact"/>
        <w:ind w:left="0" w:firstLineChars="0" w:firstLine="709"/>
        <w:rPr>
          <w:rFonts w:ascii="仿宋_GB2312" w:hAnsi="宋体"/>
          <w:sz w:val="32"/>
          <w:szCs w:val="32"/>
        </w:rPr>
      </w:pPr>
      <w:r>
        <w:rPr>
          <w:rFonts w:ascii="仿宋_GB2312" w:hAnsi="宋体" w:hint="eastAsia"/>
          <w:sz w:val="32"/>
          <w:szCs w:val="32"/>
        </w:rPr>
        <w:t>交易标的（如股权）最近一个会计年度相关的净利润占上市公司最近一个会计年度经审计净利润的50％以上，且超过500万元。</w:t>
      </w:r>
    </w:p>
    <w:p w14:paraId="09DE0DA7" w14:textId="77777777" w:rsidR="000C29B8" w:rsidRDefault="00000000">
      <w:pPr>
        <w:numPr>
          <w:ilvl w:val="2"/>
          <w:numId w:val="28"/>
        </w:numPr>
        <w:tabs>
          <w:tab w:val="left" w:pos="1418"/>
          <w:tab w:val="left" w:pos="1560"/>
        </w:tabs>
        <w:autoSpaceDE w:val="0"/>
        <w:autoSpaceDN w:val="0"/>
        <w:adjustRightInd w:val="0"/>
        <w:snapToGrid w:val="0"/>
        <w:spacing w:line="560" w:lineRule="exact"/>
        <w:ind w:left="0" w:firstLineChars="200" w:firstLine="640"/>
        <w:rPr>
          <w:rFonts w:ascii="仿宋_GB2312" w:eastAsia="仿宋_GB2312" w:hAnsi="黑体"/>
          <w:sz w:val="32"/>
          <w:szCs w:val="32"/>
        </w:rPr>
      </w:pPr>
      <w:r>
        <w:rPr>
          <w:rFonts w:ascii="仿宋_GB2312" w:eastAsia="仿宋_GB2312" w:hAnsi="宋体" w:hint="eastAsia"/>
          <w:sz w:val="32"/>
          <w:szCs w:val="32"/>
        </w:rPr>
        <w:t>本</w:t>
      </w:r>
      <w:proofErr w:type="gramStart"/>
      <w:r>
        <w:rPr>
          <w:rFonts w:ascii="仿宋_GB2312" w:eastAsia="仿宋_GB2312" w:hAnsi="宋体" w:hint="eastAsia"/>
          <w:sz w:val="32"/>
          <w:szCs w:val="32"/>
        </w:rPr>
        <w:t>规则第7</w:t>
      </w:r>
      <w:proofErr w:type="gramEnd"/>
      <w:r>
        <w:rPr>
          <w:rFonts w:ascii="仿宋_GB2312" w:eastAsia="仿宋_GB2312" w:hAnsi="宋体" w:hint="eastAsia"/>
          <w:sz w:val="32"/>
          <w:szCs w:val="32"/>
        </w:rPr>
        <w:t>.1.2条和第7.1.3条规定的成交金额，是指</w:t>
      </w:r>
      <w:r>
        <w:rPr>
          <w:rFonts w:ascii="仿宋_GB2312" w:eastAsia="仿宋_GB2312" w:hAnsi="黑体" w:hint="eastAsia"/>
          <w:sz w:val="32"/>
          <w:szCs w:val="32"/>
        </w:rPr>
        <w:t>支付的交易金额和承担的债务及费用等。</w:t>
      </w:r>
    </w:p>
    <w:p w14:paraId="26BE6C1A" w14:textId="77777777" w:rsidR="000C29B8" w:rsidRDefault="00000000">
      <w:pPr>
        <w:tabs>
          <w:tab w:val="left" w:pos="1418"/>
          <w:tab w:val="left" w:pos="1701"/>
          <w:tab w:val="left" w:pos="1843"/>
        </w:tabs>
        <w:autoSpaceDE w:val="0"/>
        <w:autoSpaceDN w:val="0"/>
        <w:adjustRightInd w:val="0"/>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交易安排涉及未来可能支付或者收取对价的、</w:t>
      </w:r>
      <w:r>
        <w:rPr>
          <w:rFonts w:ascii="仿宋_GB2312" w:eastAsia="仿宋_GB2312" w:hAnsi="宋体" w:hint="eastAsia"/>
          <w:sz w:val="32"/>
          <w:szCs w:val="32"/>
        </w:rPr>
        <w:t>未涉及具体金额或者根据设定条件确定金额的，预计最高金额为成交金额。</w:t>
      </w:r>
    </w:p>
    <w:p w14:paraId="7245F044" w14:textId="77777777" w:rsidR="000C29B8" w:rsidRDefault="00000000">
      <w:pPr>
        <w:numPr>
          <w:ilvl w:val="2"/>
          <w:numId w:val="28"/>
        </w:numPr>
        <w:tabs>
          <w:tab w:val="left" w:pos="1418"/>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本章规定的市值，是指交易前10个交易日收盘市</w:t>
      </w:r>
      <w:r>
        <w:rPr>
          <w:rFonts w:ascii="仿宋_GB2312" w:eastAsia="仿宋_GB2312" w:hAnsi="宋体" w:hint="eastAsia"/>
          <w:sz w:val="32"/>
          <w:szCs w:val="32"/>
        </w:rPr>
        <w:lastRenderedPageBreak/>
        <w:t>值的算术平均值。</w:t>
      </w:r>
    </w:p>
    <w:p w14:paraId="001F6435" w14:textId="77777777" w:rsidR="000C29B8" w:rsidRDefault="00000000">
      <w:pPr>
        <w:numPr>
          <w:ilvl w:val="2"/>
          <w:numId w:val="28"/>
        </w:numPr>
        <w:tabs>
          <w:tab w:val="left" w:pos="1418"/>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上市公司分期实施交易的，应当以交易总额为基础适用第</w:t>
      </w:r>
      <w:r>
        <w:rPr>
          <w:rFonts w:ascii="仿宋_GB2312" w:eastAsia="仿宋_GB2312" w:hAnsi="宋体"/>
          <w:sz w:val="32"/>
          <w:szCs w:val="32"/>
        </w:rPr>
        <w:t>7.1.2</w:t>
      </w:r>
      <w:r>
        <w:rPr>
          <w:rFonts w:ascii="仿宋_GB2312" w:eastAsia="仿宋_GB2312" w:hAnsi="宋体" w:hint="eastAsia"/>
          <w:sz w:val="32"/>
          <w:szCs w:val="32"/>
        </w:rPr>
        <w:t>条或者第</w:t>
      </w:r>
      <w:r>
        <w:rPr>
          <w:rFonts w:ascii="仿宋_GB2312" w:eastAsia="仿宋_GB2312" w:hAnsi="宋体"/>
          <w:sz w:val="32"/>
          <w:szCs w:val="32"/>
        </w:rPr>
        <w:t>7.1.3</w:t>
      </w:r>
      <w:r>
        <w:rPr>
          <w:rFonts w:ascii="仿宋_GB2312" w:eastAsia="仿宋_GB2312" w:hAnsi="宋体" w:hint="eastAsia"/>
          <w:sz w:val="32"/>
          <w:szCs w:val="32"/>
        </w:rPr>
        <w:t>条。</w:t>
      </w:r>
    </w:p>
    <w:p w14:paraId="4F53F056"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上市公司应当及时披露分期交易的实际发生情况。</w:t>
      </w:r>
    </w:p>
    <w:p w14:paraId="6237FE17" w14:textId="77777777" w:rsidR="000C29B8" w:rsidRDefault="00000000">
      <w:pPr>
        <w:numPr>
          <w:ilvl w:val="2"/>
          <w:numId w:val="28"/>
        </w:numPr>
        <w:tabs>
          <w:tab w:val="left" w:pos="1418"/>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上市公司与同一交易方同时发生第7.1.1条规定的同一类别且方向相反的交易时，应当按照其中单向金额，适用第</w:t>
      </w:r>
      <w:r>
        <w:rPr>
          <w:rFonts w:ascii="仿宋_GB2312" w:eastAsia="仿宋_GB2312" w:hAnsi="宋体"/>
          <w:sz w:val="32"/>
          <w:szCs w:val="32"/>
        </w:rPr>
        <w:t>7.1.2</w:t>
      </w:r>
      <w:r>
        <w:rPr>
          <w:rFonts w:ascii="仿宋_GB2312" w:eastAsia="仿宋_GB2312" w:hAnsi="宋体" w:hint="eastAsia"/>
          <w:sz w:val="32"/>
          <w:szCs w:val="32"/>
        </w:rPr>
        <w:t>条或者第</w:t>
      </w:r>
      <w:r>
        <w:rPr>
          <w:rFonts w:ascii="仿宋_GB2312" w:eastAsia="仿宋_GB2312" w:hAnsi="宋体"/>
          <w:sz w:val="32"/>
          <w:szCs w:val="32"/>
        </w:rPr>
        <w:t>7.1.3</w:t>
      </w:r>
      <w:r>
        <w:rPr>
          <w:rFonts w:ascii="仿宋_GB2312" w:eastAsia="仿宋_GB2312" w:hAnsi="宋体" w:hint="eastAsia"/>
          <w:sz w:val="32"/>
          <w:szCs w:val="32"/>
        </w:rPr>
        <w:t>条。</w:t>
      </w:r>
    </w:p>
    <w:p w14:paraId="191BA155" w14:textId="77777777" w:rsidR="000C29B8" w:rsidRDefault="00000000">
      <w:pPr>
        <w:numPr>
          <w:ilvl w:val="2"/>
          <w:numId w:val="28"/>
        </w:numPr>
        <w:tabs>
          <w:tab w:val="left" w:pos="1418"/>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除提供担保、委托理财等本规则及本所业务规则另有规定事项外，上市公司进行第7.1.1条规定的同一类别且与标的相关的交易时，应当按照连续12个月累计计算的原则，适用第7.1.2条或者第7.1.3条。</w:t>
      </w:r>
    </w:p>
    <w:p w14:paraId="5408FFB6" w14:textId="77777777" w:rsidR="000C29B8" w:rsidRDefault="00000000">
      <w:pPr>
        <w:tabs>
          <w:tab w:val="left" w:pos="1418"/>
        </w:tabs>
        <w:autoSpaceDE w:val="0"/>
        <w:autoSpaceDN w:val="0"/>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已经按照第7.1.2条或者7.1.3条履行义务的，不再纳入相关的累计计算范围。</w:t>
      </w:r>
    </w:p>
    <w:p w14:paraId="7846CE0B" w14:textId="77777777" w:rsidR="000C29B8" w:rsidRDefault="00000000">
      <w:pPr>
        <w:numPr>
          <w:ilvl w:val="2"/>
          <w:numId w:val="28"/>
        </w:numPr>
        <w:tabs>
          <w:tab w:val="clear" w:pos="1107"/>
          <w:tab w:val="left" w:pos="709"/>
          <w:tab w:val="left" w:pos="1276"/>
          <w:tab w:val="left" w:pos="1418"/>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交易标的为股权且达到第7.1.3条规定标准的，上市公司应当提供交易标的最近一年又一期财务报告的审计报告；交易标的为股权以外的非现金资产的，应当提供评估报告。经审计的财务报告截止</w:t>
      </w:r>
      <w:proofErr w:type="gramStart"/>
      <w:r>
        <w:rPr>
          <w:rFonts w:ascii="仿宋_GB2312" w:eastAsia="仿宋_GB2312" w:hAnsi="宋体" w:hint="eastAsia"/>
          <w:sz w:val="32"/>
          <w:szCs w:val="32"/>
        </w:rPr>
        <w:t>日距离</w:t>
      </w:r>
      <w:proofErr w:type="gramEnd"/>
      <w:r>
        <w:rPr>
          <w:rFonts w:ascii="仿宋_GB2312" w:eastAsia="仿宋_GB2312" w:hAnsi="宋体" w:hint="eastAsia"/>
          <w:sz w:val="32"/>
          <w:szCs w:val="32"/>
        </w:rPr>
        <w:t>审计报告使用日不得超过6个月，评估报告的评估基准</w:t>
      </w:r>
      <w:proofErr w:type="gramStart"/>
      <w:r>
        <w:rPr>
          <w:rFonts w:ascii="仿宋_GB2312" w:eastAsia="仿宋_GB2312" w:hAnsi="宋体" w:hint="eastAsia"/>
          <w:sz w:val="32"/>
          <w:szCs w:val="32"/>
        </w:rPr>
        <w:t>日距离</w:t>
      </w:r>
      <w:proofErr w:type="gramEnd"/>
      <w:r>
        <w:rPr>
          <w:rFonts w:ascii="仿宋_GB2312" w:eastAsia="仿宋_GB2312" w:hAnsi="宋体" w:hint="eastAsia"/>
          <w:sz w:val="32"/>
          <w:szCs w:val="32"/>
        </w:rPr>
        <w:t>评估报告使用日不得超过1年。</w:t>
      </w:r>
    </w:p>
    <w:p w14:paraId="4F5B6F89" w14:textId="77777777" w:rsidR="000C29B8" w:rsidRDefault="00000000">
      <w:pPr>
        <w:tabs>
          <w:tab w:val="left" w:pos="1276"/>
          <w:tab w:val="left" w:pos="1418"/>
          <w:tab w:val="left" w:pos="1560"/>
        </w:tabs>
        <w:autoSpaceDE w:val="0"/>
        <w:autoSpaceDN w:val="0"/>
        <w:adjustRightInd w:val="0"/>
        <w:snapToGrid w:val="0"/>
        <w:spacing w:line="560" w:lineRule="exact"/>
        <w:rPr>
          <w:rFonts w:ascii="仿宋_GB2312" w:eastAsia="仿宋_GB2312" w:hAnsi="宋体"/>
          <w:sz w:val="32"/>
          <w:szCs w:val="32"/>
        </w:rPr>
      </w:pPr>
      <w:r>
        <w:rPr>
          <w:rFonts w:ascii="仿宋_GB2312" w:eastAsia="仿宋_GB2312" w:hAnsi="宋体" w:hint="eastAsia"/>
          <w:sz w:val="32"/>
          <w:szCs w:val="32"/>
        </w:rPr>
        <w:t xml:space="preserve">    前款规定的审计报告和评估报告应当由具有执行证券、期货相关业务资格的证券服务机构出具。</w:t>
      </w:r>
    </w:p>
    <w:p w14:paraId="01D2B836"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交易虽未达到第7.1.3条规定的标准，但本所认为有必要的，公司应当提供审计或者评估报告。</w:t>
      </w:r>
    </w:p>
    <w:p w14:paraId="0BF19024" w14:textId="77777777" w:rsidR="000C29B8" w:rsidRDefault="00000000">
      <w:pPr>
        <w:numPr>
          <w:ilvl w:val="2"/>
          <w:numId w:val="28"/>
        </w:numPr>
        <w:tabs>
          <w:tab w:val="left" w:pos="1418"/>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上市公司发生股权交易，导致上市公司合并报表</w:t>
      </w:r>
      <w:r>
        <w:rPr>
          <w:rFonts w:ascii="仿宋_GB2312" w:eastAsia="仿宋_GB2312" w:hAnsi="宋体" w:hint="eastAsia"/>
          <w:sz w:val="32"/>
          <w:szCs w:val="32"/>
        </w:rPr>
        <w:lastRenderedPageBreak/>
        <w:t>范围发生变更的，应当以该股权所对应公司的相关财务指标作为计算基础，适用第7.1.2</w:t>
      </w:r>
      <w:r>
        <w:rPr>
          <w:rFonts w:ascii="仿宋_GB2312" w:eastAsia="仿宋_GB2312" w:hAnsi="宋体"/>
          <w:sz w:val="32"/>
          <w:szCs w:val="32"/>
        </w:rPr>
        <w:t>条或者第</w:t>
      </w:r>
      <w:r>
        <w:rPr>
          <w:rFonts w:ascii="仿宋_GB2312" w:eastAsia="仿宋_GB2312" w:hAnsi="宋体" w:hint="eastAsia"/>
          <w:sz w:val="32"/>
          <w:szCs w:val="32"/>
        </w:rPr>
        <w:t>7.1.3条。</w:t>
      </w:r>
    </w:p>
    <w:p w14:paraId="4D33621D"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前述股权交易未导致合并报表范围发生变更的，应当按照公司所持权益变动比例计算相关财务指标，适用第</w:t>
      </w:r>
      <w:r>
        <w:rPr>
          <w:rFonts w:ascii="仿宋_GB2312" w:eastAsia="仿宋_GB2312" w:hAnsi="宋体"/>
          <w:sz w:val="32"/>
          <w:szCs w:val="32"/>
        </w:rPr>
        <w:t>7.1.2条或者第7.1.3</w:t>
      </w:r>
      <w:r>
        <w:rPr>
          <w:rFonts w:ascii="仿宋_GB2312" w:eastAsia="仿宋_GB2312" w:hAnsi="宋体" w:hint="eastAsia"/>
          <w:sz w:val="32"/>
          <w:szCs w:val="32"/>
        </w:rPr>
        <w:t>条。</w:t>
      </w:r>
    </w:p>
    <w:p w14:paraId="4747C360" w14:textId="77777777" w:rsidR="000C29B8" w:rsidRDefault="00000000">
      <w:pPr>
        <w:numPr>
          <w:ilvl w:val="2"/>
          <w:numId w:val="28"/>
        </w:numPr>
        <w:tabs>
          <w:tab w:val="left" w:pos="1418"/>
          <w:tab w:val="left" w:pos="1560"/>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上市公司直接或者间接放弃控股子公司股权的优先受让权或增资权，导致子公司不再纳入合并报表的，应当视为出售股权资产，以该股权所对应公司相关财务指标作为计算基础，适用第</w:t>
      </w:r>
      <w:r>
        <w:rPr>
          <w:rFonts w:ascii="仿宋_GB2312" w:eastAsia="仿宋_GB2312" w:hAnsi="宋体"/>
          <w:sz w:val="32"/>
          <w:szCs w:val="32"/>
        </w:rPr>
        <w:t>7.1.2条或者第7.1.3</w:t>
      </w:r>
      <w:r>
        <w:rPr>
          <w:rFonts w:ascii="仿宋_GB2312" w:eastAsia="仿宋_GB2312" w:hAnsi="宋体" w:hint="eastAsia"/>
          <w:sz w:val="32"/>
          <w:szCs w:val="32"/>
        </w:rPr>
        <w:t>条。</w:t>
      </w:r>
    </w:p>
    <w:p w14:paraId="271F040E"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上市公司部分放弃控股子公司或者参股子公司股权的优先受让权或增资权，未导致合并报表范围发生变更，但公司持股比例下降，应当按照公司所持权益变动比例计算相关财务指标，适用第</w:t>
      </w:r>
      <w:r>
        <w:rPr>
          <w:rFonts w:ascii="仿宋_GB2312" w:eastAsia="仿宋_GB2312" w:hAnsi="宋体"/>
          <w:sz w:val="32"/>
          <w:szCs w:val="32"/>
        </w:rPr>
        <w:t>7.1.2</w:t>
      </w:r>
      <w:r>
        <w:rPr>
          <w:rFonts w:ascii="仿宋_GB2312" w:eastAsia="仿宋_GB2312" w:hAnsi="宋体" w:hint="eastAsia"/>
          <w:sz w:val="32"/>
          <w:szCs w:val="32"/>
        </w:rPr>
        <w:t>条或者第</w:t>
      </w:r>
      <w:r>
        <w:rPr>
          <w:rFonts w:ascii="仿宋_GB2312" w:eastAsia="仿宋_GB2312" w:hAnsi="宋体"/>
          <w:sz w:val="32"/>
          <w:szCs w:val="32"/>
        </w:rPr>
        <w:t>7.1.3</w:t>
      </w:r>
      <w:r>
        <w:rPr>
          <w:rFonts w:ascii="仿宋_GB2312" w:eastAsia="仿宋_GB2312" w:hAnsi="宋体" w:hint="eastAsia"/>
          <w:sz w:val="32"/>
          <w:szCs w:val="32"/>
        </w:rPr>
        <w:t>条</w:t>
      </w:r>
      <w:r>
        <w:rPr>
          <w:rFonts w:ascii="仿宋_GB2312" w:eastAsia="仿宋_GB2312" w:hAnsi="宋体"/>
          <w:sz w:val="32"/>
          <w:szCs w:val="32"/>
        </w:rPr>
        <w:t>。</w:t>
      </w:r>
    </w:p>
    <w:p w14:paraId="6BEB602E"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上市公司对其下属非公司</w:t>
      </w:r>
      <w:proofErr w:type="gramStart"/>
      <w:r>
        <w:rPr>
          <w:rFonts w:ascii="仿宋_GB2312" w:eastAsia="仿宋_GB2312" w:hAnsi="宋体" w:hint="eastAsia"/>
          <w:sz w:val="32"/>
          <w:szCs w:val="32"/>
        </w:rPr>
        <w:t>制主体</w:t>
      </w:r>
      <w:proofErr w:type="gramEnd"/>
      <w:r>
        <w:rPr>
          <w:rFonts w:ascii="仿宋_GB2312" w:eastAsia="仿宋_GB2312" w:hAnsi="宋体" w:hint="eastAsia"/>
          <w:sz w:val="32"/>
          <w:szCs w:val="32"/>
        </w:rPr>
        <w:t>放弃或部分放弃收益权的，参照适用前两款规定。</w:t>
      </w:r>
    </w:p>
    <w:p w14:paraId="3FD5AF69" w14:textId="77777777" w:rsidR="000C29B8" w:rsidRDefault="00000000">
      <w:pPr>
        <w:numPr>
          <w:ilvl w:val="2"/>
          <w:numId w:val="28"/>
        </w:numPr>
        <w:tabs>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上市公司提供财务资助，应当以交易发生额作为成交额，适用第7.1</w:t>
      </w:r>
      <w:r>
        <w:rPr>
          <w:rFonts w:ascii="仿宋_GB2312" w:eastAsia="仿宋_GB2312" w:hAnsi="宋体"/>
          <w:sz w:val="32"/>
          <w:szCs w:val="32"/>
        </w:rPr>
        <w:t>.</w:t>
      </w:r>
      <w:r>
        <w:rPr>
          <w:rFonts w:ascii="仿宋_GB2312" w:eastAsia="仿宋_GB2312" w:hAnsi="宋体" w:hint="eastAsia"/>
          <w:sz w:val="32"/>
          <w:szCs w:val="32"/>
        </w:rPr>
        <w:t>2</w:t>
      </w:r>
      <w:r>
        <w:rPr>
          <w:rFonts w:ascii="仿宋_GB2312" w:eastAsia="仿宋_GB2312" w:hAnsi="宋体"/>
          <w:sz w:val="32"/>
          <w:szCs w:val="32"/>
        </w:rPr>
        <w:t>条</w:t>
      </w:r>
      <w:r>
        <w:rPr>
          <w:rFonts w:ascii="仿宋_GB2312" w:eastAsia="仿宋_GB2312" w:hAnsi="宋体" w:hint="eastAsia"/>
          <w:sz w:val="32"/>
          <w:szCs w:val="32"/>
        </w:rPr>
        <w:t>第二项或者</w:t>
      </w:r>
      <w:r>
        <w:rPr>
          <w:rFonts w:ascii="仿宋_GB2312" w:eastAsia="仿宋_GB2312" w:hAnsi="宋体"/>
          <w:sz w:val="32"/>
          <w:szCs w:val="32"/>
        </w:rPr>
        <w:t>第</w:t>
      </w:r>
      <w:r>
        <w:rPr>
          <w:rFonts w:ascii="仿宋_GB2312" w:eastAsia="仿宋_GB2312" w:hAnsi="宋体" w:hint="eastAsia"/>
          <w:sz w:val="32"/>
          <w:szCs w:val="32"/>
        </w:rPr>
        <w:t>7.1</w:t>
      </w:r>
      <w:r>
        <w:rPr>
          <w:rFonts w:ascii="仿宋_GB2312" w:eastAsia="仿宋_GB2312" w:hAnsi="宋体"/>
          <w:sz w:val="32"/>
          <w:szCs w:val="32"/>
        </w:rPr>
        <w:t>.</w:t>
      </w:r>
      <w:r>
        <w:rPr>
          <w:rFonts w:ascii="仿宋_GB2312" w:eastAsia="仿宋_GB2312" w:hAnsi="宋体" w:hint="eastAsia"/>
          <w:sz w:val="32"/>
          <w:szCs w:val="32"/>
        </w:rPr>
        <w:t>3条第二项。</w:t>
      </w:r>
    </w:p>
    <w:p w14:paraId="03B71BCD" w14:textId="77777777" w:rsidR="000C29B8" w:rsidRDefault="00000000">
      <w:pPr>
        <w:numPr>
          <w:ilvl w:val="2"/>
          <w:numId w:val="28"/>
        </w:numPr>
        <w:tabs>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黑体" w:hint="eastAsia"/>
          <w:sz w:val="32"/>
          <w:szCs w:val="32"/>
        </w:rPr>
        <w:t>上市公司</w:t>
      </w:r>
      <w:r>
        <w:rPr>
          <w:rFonts w:ascii="仿宋_GB2312" w:eastAsia="仿宋_GB2312" w:hAnsi="宋体" w:hint="eastAsia"/>
          <w:sz w:val="32"/>
          <w:szCs w:val="32"/>
        </w:rPr>
        <w:t>连续12个月滚动发生委托理财的，以该期间最高余额为成交额，适用第7.1</w:t>
      </w:r>
      <w:r>
        <w:rPr>
          <w:rFonts w:ascii="仿宋_GB2312" w:eastAsia="仿宋_GB2312" w:hAnsi="宋体"/>
          <w:sz w:val="32"/>
          <w:szCs w:val="32"/>
        </w:rPr>
        <w:t>.</w:t>
      </w:r>
      <w:r>
        <w:rPr>
          <w:rFonts w:ascii="仿宋_GB2312" w:eastAsia="仿宋_GB2312" w:hAnsi="宋体" w:hint="eastAsia"/>
          <w:sz w:val="32"/>
          <w:szCs w:val="32"/>
        </w:rPr>
        <w:t>2</w:t>
      </w:r>
      <w:r>
        <w:rPr>
          <w:rFonts w:ascii="仿宋_GB2312" w:eastAsia="仿宋_GB2312" w:hAnsi="宋体"/>
          <w:sz w:val="32"/>
          <w:szCs w:val="32"/>
        </w:rPr>
        <w:t>条</w:t>
      </w:r>
      <w:r>
        <w:rPr>
          <w:rFonts w:ascii="仿宋_GB2312" w:eastAsia="仿宋_GB2312" w:hAnsi="宋体" w:hint="eastAsia"/>
          <w:sz w:val="32"/>
          <w:szCs w:val="32"/>
        </w:rPr>
        <w:t>第二项或者</w:t>
      </w:r>
      <w:r>
        <w:rPr>
          <w:rFonts w:ascii="仿宋_GB2312" w:eastAsia="仿宋_GB2312" w:hAnsi="宋体"/>
          <w:sz w:val="32"/>
          <w:szCs w:val="32"/>
        </w:rPr>
        <w:t>第</w:t>
      </w:r>
      <w:r>
        <w:rPr>
          <w:rFonts w:ascii="仿宋_GB2312" w:eastAsia="仿宋_GB2312" w:hAnsi="宋体" w:hint="eastAsia"/>
          <w:sz w:val="32"/>
          <w:szCs w:val="32"/>
        </w:rPr>
        <w:t>7.1</w:t>
      </w:r>
      <w:r>
        <w:rPr>
          <w:rFonts w:ascii="仿宋_GB2312" w:eastAsia="仿宋_GB2312" w:hAnsi="宋体"/>
          <w:sz w:val="32"/>
          <w:szCs w:val="32"/>
        </w:rPr>
        <w:t>.</w:t>
      </w:r>
      <w:r>
        <w:rPr>
          <w:rFonts w:ascii="仿宋_GB2312" w:eastAsia="仿宋_GB2312" w:hAnsi="宋体" w:hint="eastAsia"/>
          <w:sz w:val="32"/>
          <w:szCs w:val="32"/>
        </w:rPr>
        <w:t>3条第二项。</w:t>
      </w:r>
    </w:p>
    <w:p w14:paraId="22B233FB" w14:textId="77777777" w:rsidR="000C29B8" w:rsidRDefault="00000000">
      <w:pPr>
        <w:numPr>
          <w:ilvl w:val="2"/>
          <w:numId w:val="28"/>
        </w:numPr>
        <w:tabs>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上市公司发生租入资产或者受托管理资产交易的，应当以租金或者收入为计算基础，适用第7.1.2</w:t>
      </w:r>
      <w:r>
        <w:rPr>
          <w:rFonts w:ascii="仿宋_GB2312" w:eastAsia="仿宋_GB2312" w:hAnsi="宋体"/>
          <w:sz w:val="32"/>
          <w:szCs w:val="32"/>
        </w:rPr>
        <w:t>条</w:t>
      </w:r>
      <w:r>
        <w:rPr>
          <w:rFonts w:ascii="仿宋_GB2312" w:eastAsia="仿宋_GB2312" w:hAnsi="宋体" w:hint="eastAsia"/>
          <w:sz w:val="32"/>
          <w:szCs w:val="32"/>
        </w:rPr>
        <w:t>第四项</w:t>
      </w:r>
      <w:r>
        <w:rPr>
          <w:rFonts w:ascii="仿宋_GB2312" w:eastAsia="仿宋_GB2312" w:hAnsi="宋体"/>
          <w:sz w:val="32"/>
          <w:szCs w:val="32"/>
        </w:rPr>
        <w:t>或者第</w:t>
      </w:r>
      <w:r>
        <w:rPr>
          <w:rFonts w:ascii="仿宋_GB2312" w:eastAsia="仿宋_GB2312" w:hAnsi="宋体" w:hint="eastAsia"/>
          <w:sz w:val="32"/>
          <w:szCs w:val="32"/>
        </w:rPr>
        <w:t>7.1.3条第四项。</w:t>
      </w:r>
    </w:p>
    <w:p w14:paraId="2980F9FA"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上市公司发生租出资产或者委托他人管理资产交易的，</w:t>
      </w:r>
      <w:r>
        <w:rPr>
          <w:rFonts w:ascii="仿宋_GB2312" w:eastAsia="仿宋_GB2312" w:hAnsi="宋体" w:hint="eastAsia"/>
          <w:sz w:val="32"/>
          <w:szCs w:val="32"/>
        </w:rPr>
        <w:lastRenderedPageBreak/>
        <w:t>应当以总资产额、租金收入或者管理费为计算基础，适用第7.1.2</w:t>
      </w:r>
      <w:r>
        <w:rPr>
          <w:rFonts w:ascii="仿宋_GB2312" w:eastAsia="仿宋_GB2312" w:hAnsi="宋体"/>
          <w:sz w:val="32"/>
          <w:szCs w:val="32"/>
        </w:rPr>
        <w:t>条</w:t>
      </w:r>
      <w:r>
        <w:rPr>
          <w:rFonts w:ascii="仿宋_GB2312" w:eastAsia="仿宋_GB2312" w:hAnsi="宋体" w:hint="eastAsia"/>
          <w:sz w:val="32"/>
          <w:szCs w:val="32"/>
        </w:rPr>
        <w:t>第一项、第四项</w:t>
      </w:r>
      <w:r>
        <w:rPr>
          <w:rFonts w:ascii="仿宋_GB2312" w:eastAsia="仿宋_GB2312" w:hAnsi="宋体"/>
          <w:sz w:val="32"/>
          <w:szCs w:val="32"/>
        </w:rPr>
        <w:t>或者第</w:t>
      </w:r>
      <w:r>
        <w:rPr>
          <w:rFonts w:ascii="仿宋_GB2312" w:eastAsia="仿宋_GB2312" w:hAnsi="宋体" w:hint="eastAsia"/>
          <w:sz w:val="32"/>
          <w:szCs w:val="32"/>
        </w:rPr>
        <w:t>7.1.3条第一项、第四项。</w:t>
      </w:r>
    </w:p>
    <w:p w14:paraId="5402C4D6"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受托经营、租入资产或者委托他人管理、租出资产，导致公司合并报表范围发生变更的，应当视为购买或者出售资产。</w:t>
      </w:r>
    </w:p>
    <w:p w14:paraId="0946177E" w14:textId="77777777" w:rsidR="000C29B8" w:rsidRDefault="00000000">
      <w:pPr>
        <w:numPr>
          <w:ilvl w:val="2"/>
          <w:numId w:val="28"/>
        </w:numPr>
        <w:tabs>
          <w:tab w:val="clear" w:pos="1107"/>
          <w:tab w:val="left" w:pos="0"/>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上市公司发生日常经营范围内的交易，达到下列标准之一的，应当及时进行披露：</w:t>
      </w:r>
    </w:p>
    <w:p w14:paraId="60FFF6C4" w14:textId="77777777" w:rsidR="000C29B8" w:rsidRDefault="00000000">
      <w:pPr>
        <w:pStyle w:val="afa"/>
        <w:numPr>
          <w:ilvl w:val="0"/>
          <w:numId w:val="31"/>
        </w:numPr>
        <w:tabs>
          <w:tab w:val="left" w:pos="1418"/>
          <w:tab w:val="left" w:pos="1701"/>
          <w:tab w:val="left" w:pos="1843"/>
        </w:tabs>
        <w:autoSpaceDE w:val="0"/>
        <w:autoSpaceDN w:val="0"/>
        <w:adjustRightInd w:val="0"/>
        <w:snapToGrid w:val="0"/>
        <w:spacing w:line="560" w:lineRule="exact"/>
        <w:ind w:left="0" w:firstLineChars="0" w:firstLine="709"/>
        <w:rPr>
          <w:rFonts w:ascii="仿宋_GB2312" w:hAnsi="宋体"/>
          <w:sz w:val="32"/>
          <w:szCs w:val="32"/>
        </w:rPr>
      </w:pPr>
      <w:r>
        <w:rPr>
          <w:rFonts w:ascii="仿宋_GB2312" w:hAnsi="宋体" w:hint="eastAsia"/>
          <w:sz w:val="32"/>
          <w:szCs w:val="32"/>
        </w:rPr>
        <w:t>交易金额占上市公司最近一期经审计总资产的50%以上，且绝对金额超过1亿元；</w:t>
      </w:r>
    </w:p>
    <w:p w14:paraId="56AAADAB" w14:textId="77777777" w:rsidR="000C29B8" w:rsidRDefault="00000000">
      <w:pPr>
        <w:pStyle w:val="afa"/>
        <w:numPr>
          <w:ilvl w:val="0"/>
          <w:numId w:val="31"/>
        </w:numPr>
        <w:tabs>
          <w:tab w:val="left" w:pos="1418"/>
          <w:tab w:val="left" w:pos="1701"/>
          <w:tab w:val="left" w:pos="1843"/>
        </w:tabs>
        <w:autoSpaceDE w:val="0"/>
        <w:autoSpaceDN w:val="0"/>
        <w:adjustRightInd w:val="0"/>
        <w:snapToGrid w:val="0"/>
        <w:spacing w:line="560" w:lineRule="exact"/>
        <w:ind w:left="0" w:firstLineChars="0" w:firstLine="709"/>
        <w:rPr>
          <w:rFonts w:ascii="仿宋_GB2312" w:hAnsi="宋体"/>
          <w:sz w:val="32"/>
          <w:szCs w:val="32"/>
        </w:rPr>
      </w:pPr>
      <w:r>
        <w:rPr>
          <w:rFonts w:ascii="仿宋_GB2312" w:hAnsi="宋体" w:hint="eastAsia"/>
          <w:sz w:val="32"/>
          <w:szCs w:val="32"/>
        </w:rPr>
        <w:t>交易金额占上市公司最近一个会计年度经审计营业收入或营业成本的50%以上，且超过1亿元；</w:t>
      </w:r>
    </w:p>
    <w:p w14:paraId="6CD56B9C" w14:textId="77777777" w:rsidR="000C29B8" w:rsidRDefault="00000000">
      <w:pPr>
        <w:pStyle w:val="afa"/>
        <w:numPr>
          <w:ilvl w:val="0"/>
          <w:numId w:val="31"/>
        </w:numPr>
        <w:tabs>
          <w:tab w:val="left" w:pos="1418"/>
          <w:tab w:val="left" w:pos="1701"/>
          <w:tab w:val="left" w:pos="1843"/>
        </w:tabs>
        <w:autoSpaceDE w:val="0"/>
        <w:autoSpaceDN w:val="0"/>
        <w:adjustRightInd w:val="0"/>
        <w:snapToGrid w:val="0"/>
        <w:spacing w:line="560" w:lineRule="exact"/>
        <w:ind w:left="0" w:firstLineChars="0" w:firstLine="709"/>
        <w:rPr>
          <w:rFonts w:ascii="仿宋_GB2312" w:hAnsi="宋体"/>
          <w:sz w:val="32"/>
          <w:szCs w:val="32"/>
        </w:rPr>
      </w:pPr>
      <w:r>
        <w:rPr>
          <w:rFonts w:ascii="仿宋_GB2312" w:hAnsi="宋体" w:hint="eastAsia"/>
          <w:sz w:val="32"/>
          <w:szCs w:val="32"/>
        </w:rPr>
        <w:t>交易预计产生的利润总额占上市公司最近一个会计年度经审计净利润的50%以上，且超过500万元；</w:t>
      </w:r>
    </w:p>
    <w:p w14:paraId="528E2E7D" w14:textId="77777777" w:rsidR="000C29B8" w:rsidRDefault="00000000">
      <w:pPr>
        <w:pStyle w:val="afa"/>
        <w:numPr>
          <w:ilvl w:val="0"/>
          <w:numId w:val="31"/>
        </w:numPr>
        <w:tabs>
          <w:tab w:val="left" w:pos="1418"/>
          <w:tab w:val="left" w:pos="1701"/>
          <w:tab w:val="left" w:pos="1843"/>
        </w:tabs>
        <w:autoSpaceDE w:val="0"/>
        <w:autoSpaceDN w:val="0"/>
        <w:adjustRightInd w:val="0"/>
        <w:snapToGrid w:val="0"/>
        <w:spacing w:line="560" w:lineRule="exact"/>
        <w:ind w:left="0" w:firstLineChars="0" w:firstLine="709"/>
        <w:rPr>
          <w:rFonts w:ascii="仿宋_GB2312" w:hAnsi="宋体"/>
          <w:sz w:val="32"/>
          <w:szCs w:val="32"/>
        </w:rPr>
      </w:pPr>
      <w:r>
        <w:rPr>
          <w:rFonts w:ascii="仿宋_GB2312" w:hAnsi="宋体" w:hint="eastAsia"/>
          <w:sz w:val="32"/>
          <w:szCs w:val="32"/>
        </w:rPr>
        <w:t>其他可能对上市公司的资产、负债、权益和经营成果产生重大影响的交易。</w:t>
      </w:r>
    </w:p>
    <w:p w14:paraId="339A6420" w14:textId="77777777" w:rsidR="000C29B8" w:rsidRDefault="00000000">
      <w:pPr>
        <w:numPr>
          <w:ilvl w:val="2"/>
          <w:numId w:val="28"/>
        </w:numPr>
        <w:tabs>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上市公司提供担保的，应当提交董事会或者股东大会进行审议，并及时披露。</w:t>
      </w:r>
    </w:p>
    <w:p w14:paraId="44FFFCFC"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上市公司下列担保事项应当在董事会审议通过后提交股东大会审议：</w:t>
      </w:r>
    </w:p>
    <w:p w14:paraId="2B9935D3" w14:textId="77777777" w:rsidR="000C29B8" w:rsidRDefault="00000000">
      <w:pPr>
        <w:pStyle w:val="afa"/>
        <w:numPr>
          <w:ilvl w:val="0"/>
          <w:numId w:val="32"/>
        </w:numPr>
        <w:tabs>
          <w:tab w:val="left" w:pos="1418"/>
          <w:tab w:val="left" w:pos="1701"/>
          <w:tab w:val="left" w:pos="1843"/>
        </w:tabs>
        <w:autoSpaceDE w:val="0"/>
        <w:autoSpaceDN w:val="0"/>
        <w:adjustRightInd w:val="0"/>
        <w:snapToGrid w:val="0"/>
        <w:spacing w:line="560" w:lineRule="exact"/>
        <w:ind w:left="0" w:firstLineChars="0" w:firstLine="709"/>
        <w:rPr>
          <w:rFonts w:ascii="仿宋_GB2312" w:hAnsi="宋体"/>
          <w:sz w:val="32"/>
          <w:szCs w:val="32"/>
        </w:rPr>
      </w:pPr>
      <w:r>
        <w:rPr>
          <w:rFonts w:ascii="仿宋_GB2312" w:hAnsi="宋体" w:hint="eastAsia"/>
          <w:sz w:val="32"/>
          <w:szCs w:val="32"/>
        </w:rPr>
        <w:t>单笔担保额超过公司最近一期经审计净资产10％的担保；</w:t>
      </w:r>
    </w:p>
    <w:p w14:paraId="2FB2B72B" w14:textId="77777777" w:rsidR="000C29B8" w:rsidRDefault="00000000">
      <w:pPr>
        <w:pStyle w:val="afa"/>
        <w:numPr>
          <w:ilvl w:val="0"/>
          <w:numId w:val="32"/>
        </w:numPr>
        <w:tabs>
          <w:tab w:val="left" w:pos="1418"/>
          <w:tab w:val="left" w:pos="1701"/>
          <w:tab w:val="left" w:pos="1843"/>
        </w:tabs>
        <w:autoSpaceDE w:val="0"/>
        <w:autoSpaceDN w:val="0"/>
        <w:adjustRightInd w:val="0"/>
        <w:snapToGrid w:val="0"/>
        <w:spacing w:line="560" w:lineRule="exact"/>
        <w:ind w:left="0" w:firstLineChars="0" w:firstLine="709"/>
        <w:rPr>
          <w:rFonts w:ascii="仿宋_GB2312" w:hAnsi="宋体"/>
          <w:sz w:val="32"/>
          <w:szCs w:val="32"/>
        </w:rPr>
      </w:pPr>
      <w:r>
        <w:rPr>
          <w:rFonts w:ascii="仿宋_GB2312" w:hAnsi="宋体" w:hint="eastAsia"/>
          <w:sz w:val="32"/>
          <w:szCs w:val="32"/>
        </w:rPr>
        <w:t>公司及其控股子公司的对外担保总额，超过公司最近一期经审计净资产50％以后提供的任何担保；</w:t>
      </w:r>
    </w:p>
    <w:p w14:paraId="7629CC74" w14:textId="77777777" w:rsidR="000C29B8" w:rsidRDefault="00000000">
      <w:pPr>
        <w:pStyle w:val="afa"/>
        <w:numPr>
          <w:ilvl w:val="0"/>
          <w:numId w:val="32"/>
        </w:numPr>
        <w:tabs>
          <w:tab w:val="left" w:pos="1418"/>
          <w:tab w:val="left" w:pos="1701"/>
          <w:tab w:val="left" w:pos="1843"/>
        </w:tabs>
        <w:autoSpaceDE w:val="0"/>
        <w:autoSpaceDN w:val="0"/>
        <w:adjustRightInd w:val="0"/>
        <w:snapToGrid w:val="0"/>
        <w:spacing w:line="560" w:lineRule="exact"/>
        <w:ind w:left="0" w:firstLineChars="0" w:firstLine="709"/>
        <w:rPr>
          <w:rFonts w:ascii="仿宋_GB2312" w:hAnsi="宋体"/>
          <w:sz w:val="32"/>
          <w:szCs w:val="32"/>
        </w:rPr>
      </w:pPr>
      <w:r>
        <w:rPr>
          <w:rFonts w:ascii="仿宋_GB2312" w:hAnsi="宋体" w:hint="eastAsia"/>
          <w:sz w:val="32"/>
          <w:szCs w:val="32"/>
        </w:rPr>
        <w:t>为资产负债率超过70％的担保对象提供的担保；</w:t>
      </w:r>
    </w:p>
    <w:p w14:paraId="3C956432" w14:textId="77777777" w:rsidR="000C29B8" w:rsidRDefault="00000000">
      <w:pPr>
        <w:pStyle w:val="afa"/>
        <w:numPr>
          <w:ilvl w:val="0"/>
          <w:numId w:val="32"/>
        </w:numPr>
        <w:tabs>
          <w:tab w:val="left" w:pos="1418"/>
          <w:tab w:val="left" w:pos="1701"/>
          <w:tab w:val="left" w:pos="1843"/>
        </w:tabs>
        <w:autoSpaceDE w:val="0"/>
        <w:autoSpaceDN w:val="0"/>
        <w:adjustRightInd w:val="0"/>
        <w:snapToGrid w:val="0"/>
        <w:spacing w:line="560" w:lineRule="exact"/>
        <w:ind w:left="0" w:firstLineChars="0" w:firstLine="709"/>
        <w:rPr>
          <w:rFonts w:ascii="仿宋_GB2312" w:hAnsi="宋体"/>
          <w:sz w:val="32"/>
          <w:szCs w:val="32"/>
        </w:rPr>
      </w:pPr>
      <w:r>
        <w:rPr>
          <w:rFonts w:ascii="仿宋_GB2312" w:hAnsi="宋体" w:hint="eastAsia"/>
          <w:sz w:val="32"/>
          <w:szCs w:val="32"/>
        </w:rPr>
        <w:lastRenderedPageBreak/>
        <w:t>按照担保金额连续12个月累计计算原则，超过公司最近一期经审计总资产30％的担保；</w:t>
      </w:r>
    </w:p>
    <w:p w14:paraId="4A3194ED" w14:textId="77777777" w:rsidR="000C29B8" w:rsidRDefault="00000000">
      <w:pPr>
        <w:pStyle w:val="afa"/>
        <w:numPr>
          <w:ilvl w:val="0"/>
          <w:numId w:val="32"/>
        </w:numPr>
        <w:tabs>
          <w:tab w:val="left" w:pos="1418"/>
          <w:tab w:val="left" w:pos="1701"/>
          <w:tab w:val="left" w:pos="1843"/>
        </w:tabs>
        <w:autoSpaceDE w:val="0"/>
        <w:autoSpaceDN w:val="0"/>
        <w:adjustRightInd w:val="0"/>
        <w:snapToGrid w:val="0"/>
        <w:spacing w:line="560" w:lineRule="exact"/>
        <w:ind w:left="0" w:firstLineChars="0" w:firstLine="709"/>
        <w:rPr>
          <w:rFonts w:ascii="仿宋_GB2312" w:hAnsi="宋体"/>
          <w:sz w:val="32"/>
          <w:szCs w:val="32"/>
        </w:rPr>
      </w:pPr>
      <w:r>
        <w:rPr>
          <w:rFonts w:ascii="仿宋_GB2312" w:hAnsi="宋体" w:hint="eastAsia"/>
          <w:sz w:val="32"/>
          <w:szCs w:val="32"/>
        </w:rPr>
        <w:t>本所或者公司章程规定的其他担保。</w:t>
      </w:r>
    </w:p>
    <w:p w14:paraId="6B2B1BDD"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对于董事会权限范围内的担保事项，除应当经全体董事的过半数通过外，还应当经出席董事会会议的三分之二以上董事同意；前款第四项担保，应当经出席股东大会的股东所持表决权的三分之二以上通过。</w:t>
      </w:r>
    </w:p>
    <w:p w14:paraId="6FD8F055" w14:textId="77777777" w:rsidR="000C29B8" w:rsidRDefault="00000000">
      <w:pPr>
        <w:numPr>
          <w:ilvl w:val="2"/>
          <w:numId w:val="28"/>
        </w:numPr>
        <w:tabs>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上市公司为全资子公司提供担保，或者为控股子公司提供担保且控股子公司其他股东按所享有的权益提供同等比例担保，</w:t>
      </w:r>
      <w:r>
        <w:rPr>
          <w:rFonts w:ascii="仿宋_GB2312" w:eastAsia="仿宋_GB2312" w:hAnsi="黑体" w:hint="eastAsia"/>
          <w:sz w:val="32"/>
          <w:szCs w:val="32"/>
        </w:rPr>
        <w:t>不损害上市公司利益</w:t>
      </w:r>
      <w:r>
        <w:rPr>
          <w:rFonts w:ascii="仿宋_GB2312" w:eastAsia="仿宋_GB2312" w:hAnsi="宋体" w:hint="eastAsia"/>
          <w:sz w:val="32"/>
          <w:szCs w:val="32"/>
        </w:rPr>
        <w:t>的，可以豁免适用第7.1.16条第一项至第三项的规定，但是公司章程另有规定除外。上市公司应当在年度报告和半年度报告中汇总披露前述担保。</w:t>
      </w:r>
    </w:p>
    <w:p w14:paraId="7088E13D" w14:textId="77777777" w:rsidR="000C29B8" w:rsidRDefault="00000000">
      <w:pPr>
        <w:numPr>
          <w:ilvl w:val="2"/>
          <w:numId w:val="28"/>
        </w:numPr>
        <w:tabs>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上市公司提供担保，被担保人于债务到期后15个交易日内未履行偿债义务，或者被担保人出现破产、清算或其他严重影响其偿债能力情形的，上市公司应当及时披露。</w:t>
      </w:r>
    </w:p>
    <w:p w14:paraId="4E35E4CF" w14:textId="77777777" w:rsidR="000C29B8" w:rsidRDefault="00000000">
      <w:pPr>
        <w:numPr>
          <w:ilvl w:val="2"/>
          <w:numId w:val="28"/>
        </w:numPr>
        <w:tabs>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购买、出售资产交易，涉及资产总额或者成交金额连续12个月内累计计算超过公司最近一期经审计总资产30%的，除应当披露并参照第7.1.9条规定进行审计或者评估外，还应当提交股东大会审议，并经出席会议的股东所持表决权的三分之二以上通过。</w:t>
      </w:r>
    </w:p>
    <w:p w14:paraId="0497B896" w14:textId="77777777" w:rsidR="000C29B8" w:rsidRDefault="00000000">
      <w:pPr>
        <w:numPr>
          <w:ilvl w:val="2"/>
          <w:numId w:val="28"/>
        </w:numPr>
        <w:tabs>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上市公司单方面获得利益的交易，包括受赠现金资产、获得债务减免、接受担保和资助等，可免于按照第</w:t>
      </w:r>
      <w:r>
        <w:rPr>
          <w:rFonts w:ascii="仿宋_GB2312" w:eastAsia="仿宋_GB2312" w:hAnsi="宋体"/>
          <w:sz w:val="32"/>
          <w:szCs w:val="32"/>
        </w:rPr>
        <w:t>7.1.3</w:t>
      </w:r>
      <w:r>
        <w:rPr>
          <w:rFonts w:ascii="仿宋_GB2312" w:eastAsia="仿宋_GB2312" w:hAnsi="宋体" w:hint="eastAsia"/>
          <w:sz w:val="32"/>
          <w:szCs w:val="32"/>
        </w:rPr>
        <w:t>条的规定履行股东大会审议程序。</w:t>
      </w:r>
    </w:p>
    <w:p w14:paraId="4B910EBC" w14:textId="77777777" w:rsidR="000C29B8" w:rsidRDefault="00000000">
      <w:pPr>
        <w:numPr>
          <w:ilvl w:val="2"/>
          <w:numId w:val="28"/>
        </w:numPr>
        <w:tabs>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lastRenderedPageBreak/>
        <w:t>未盈利的上市公司可以豁免适用第7.1.2条、第7.1.3条或者第7.1.15条的净利润指标</w:t>
      </w:r>
      <w:r>
        <w:rPr>
          <w:rFonts w:ascii="仿宋_GB2312" w:eastAsia="仿宋_GB2312" w:hAnsi="宋体"/>
          <w:sz w:val="32"/>
          <w:szCs w:val="32"/>
        </w:rPr>
        <w:t>。</w:t>
      </w:r>
    </w:p>
    <w:p w14:paraId="16EF1DA3" w14:textId="77777777" w:rsidR="000C29B8" w:rsidRDefault="00000000">
      <w:pPr>
        <w:pStyle w:val="23"/>
        <w:numPr>
          <w:ilvl w:val="1"/>
          <w:numId w:val="1"/>
        </w:numPr>
        <w:ind w:left="0" w:firstLine="643"/>
      </w:pPr>
      <w:bookmarkStart w:id="371" w:name="_Toc530093394"/>
      <w:bookmarkStart w:id="372" w:name="_Toc530093713"/>
      <w:bookmarkStart w:id="373" w:name="_Toc530090829"/>
      <w:bookmarkStart w:id="374" w:name="_Toc530090839"/>
      <w:bookmarkStart w:id="375" w:name="_Toc530093470"/>
      <w:bookmarkStart w:id="376" w:name="_Toc530090827"/>
      <w:bookmarkStart w:id="377" w:name="_Toc530093621"/>
      <w:bookmarkStart w:id="378" w:name="_Toc530090832"/>
      <w:bookmarkStart w:id="379" w:name="_Toc530093622"/>
      <w:bookmarkStart w:id="380" w:name="_Toc530127392"/>
      <w:bookmarkStart w:id="381" w:name="_Toc530093638"/>
      <w:bookmarkStart w:id="382" w:name="_Toc530093412"/>
      <w:bookmarkStart w:id="383" w:name="_Toc530093627"/>
      <w:bookmarkStart w:id="384" w:name="_Toc530093634"/>
      <w:bookmarkStart w:id="385" w:name="_Toc530093375"/>
      <w:bookmarkStart w:id="386" w:name="_Toc530090842"/>
      <w:bookmarkStart w:id="387" w:name="_Toc530093651"/>
      <w:bookmarkStart w:id="388" w:name="_Toc530093639"/>
      <w:bookmarkStart w:id="389" w:name="_Toc530093456"/>
      <w:bookmarkStart w:id="390" w:name="_Toc530093648"/>
      <w:bookmarkStart w:id="391" w:name="_Toc530093708"/>
      <w:bookmarkStart w:id="392" w:name="_Toc530093398"/>
      <w:bookmarkStart w:id="393" w:name="_Toc530093646"/>
      <w:bookmarkStart w:id="394" w:name="_Toc530093732"/>
      <w:bookmarkStart w:id="395" w:name="_Toc530093486"/>
      <w:bookmarkStart w:id="396" w:name="_Toc530090856"/>
      <w:bookmarkStart w:id="397" w:name="_Toc530090864"/>
      <w:bookmarkStart w:id="398" w:name="_Toc530093492"/>
      <w:bookmarkStart w:id="399" w:name="_Toc530093494"/>
      <w:bookmarkStart w:id="400" w:name="_Toc530093723"/>
      <w:bookmarkStart w:id="401" w:name="_Toc530093739"/>
      <w:bookmarkStart w:id="402" w:name="_Toc530093650"/>
      <w:bookmarkStart w:id="403" w:name="_Toc530093488"/>
      <w:bookmarkStart w:id="404" w:name="_Toc530090863"/>
      <w:bookmarkStart w:id="405" w:name="_Toc530093702"/>
      <w:bookmarkStart w:id="406" w:name="_Toc530090862"/>
      <w:bookmarkStart w:id="407" w:name="_Toc530093657"/>
      <w:bookmarkStart w:id="408" w:name="_Toc530093493"/>
      <w:bookmarkStart w:id="409" w:name="_Toc530090865"/>
      <w:bookmarkStart w:id="410" w:name="_Toc530093734"/>
      <w:bookmarkStart w:id="411" w:name="_Toc530093737"/>
      <w:bookmarkStart w:id="412" w:name="_Toc530093725"/>
      <w:bookmarkStart w:id="413" w:name="_Toc530093491"/>
      <w:bookmarkStart w:id="414" w:name="_Toc530090852"/>
      <w:bookmarkStart w:id="415" w:name="_Toc530093385"/>
      <w:bookmarkStart w:id="416" w:name="_Toc530093642"/>
      <w:bookmarkStart w:id="417" w:name="_Toc530093415"/>
      <w:bookmarkStart w:id="418" w:name="_Toc530093630"/>
      <w:bookmarkStart w:id="419" w:name="_Toc530093658"/>
      <w:bookmarkStart w:id="420" w:name="_Toc530093738"/>
      <w:bookmarkStart w:id="421" w:name="_Toc530093413"/>
      <w:bookmarkStart w:id="422" w:name="_Toc530093495"/>
      <w:bookmarkStart w:id="423" w:name="_Toc530093655"/>
      <w:bookmarkStart w:id="424" w:name="_Toc530093481"/>
      <w:bookmarkStart w:id="425" w:name="_Toc530090861"/>
      <w:bookmarkStart w:id="426" w:name="_Toc530093498"/>
      <w:bookmarkStart w:id="427" w:name="_Toc530093409"/>
      <w:bookmarkStart w:id="428" w:name="_Toc530093733"/>
      <w:bookmarkStart w:id="429" w:name="_Toc530093379"/>
      <w:bookmarkStart w:id="430" w:name="_Toc530093399"/>
      <w:bookmarkStart w:id="431" w:name="_Toc530093496"/>
      <w:bookmarkStart w:id="432" w:name="_Toc530093705"/>
      <w:bookmarkStart w:id="433" w:name="_Toc530090833"/>
      <w:bookmarkStart w:id="434" w:name="_Toc530093474"/>
      <w:bookmarkStart w:id="435" w:name="_Toc530090845"/>
      <w:bookmarkStart w:id="436" w:name="_Toc530093388"/>
      <w:bookmarkStart w:id="437" w:name="_Toc530093660"/>
      <w:bookmarkStart w:id="438" w:name="_Toc530093463"/>
      <w:bookmarkStart w:id="439" w:name="_Toc530093483"/>
      <w:bookmarkStart w:id="440" w:name="_Toc530093487"/>
      <w:bookmarkStart w:id="441" w:name="_Toc530090830"/>
      <w:bookmarkStart w:id="442" w:name="_Toc530093414"/>
      <w:bookmarkStart w:id="443" w:name="_Toc530093497"/>
      <w:bookmarkStart w:id="444" w:name="_Toc530093649"/>
      <w:bookmarkStart w:id="445" w:name="_Toc530093406"/>
      <w:bookmarkStart w:id="446" w:name="_Toc530093389"/>
      <w:bookmarkStart w:id="447" w:name="_Toc530093631"/>
      <w:bookmarkStart w:id="448" w:name="_Toc530093620"/>
      <w:bookmarkStart w:id="449" w:name="_Toc530093659"/>
      <w:bookmarkStart w:id="450" w:name="_Toc530093706"/>
      <w:bookmarkStart w:id="451" w:name="_Toc530093709"/>
      <w:bookmarkStart w:id="452" w:name="_Toc530093408"/>
      <w:bookmarkStart w:id="453" w:name="_Toc530090859"/>
      <w:bookmarkStart w:id="454" w:name="_Toc530090849"/>
      <w:bookmarkStart w:id="455" w:name="_Toc530093703"/>
      <w:bookmarkStart w:id="456" w:name="_Toc530093393"/>
      <w:bookmarkStart w:id="457" w:name="_Toc530093711"/>
      <w:bookmarkStart w:id="458" w:name="_Toc530093712"/>
      <w:bookmarkStart w:id="459" w:name="_Toc530093722"/>
      <w:bookmarkStart w:id="460" w:name="_Toc530093626"/>
      <w:bookmarkStart w:id="461" w:name="_Toc530090838"/>
      <w:bookmarkStart w:id="462" w:name="_Toc530093729"/>
      <w:bookmarkStart w:id="463" w:name="_Toc530093652"/>
      <w:bookmarkStart w:id="464" w:name="_Toc530093417"/>
      <w:bookmarkStart w:id="465" w:name="_Toc530093391"/>
      <w:bookmarkStart w:id="466" w:name="_Toc530093490"/>
      <w:bookmarkStart w:id="467" w:name="_Toc530093377"/>
      <w:bookmarkStart w:id="468" w:name="_Toc530093636"/>
      <w:bookmarkStart w:id="469" w:name="_Toc530093499"/>
      <w:bookmarkStart w:id="470" w:name="_Toc530093628"/>
      <w:bookmarkStart w:id="471" w:name="_Toc530093404"/>
      <w:bookmarkStart w:id="472" w:name="_Toc530093459"/>
      <w:bookmarkStart w:id="473" w:name="_Toc530090841"/>
      <w:bookmarkStart w:id="474" w:name="_Toc530093405"/>
      <w:bookmarkStart w:id="475" w:name="_Toc530093489"/>
      <w:bookmarkStart w:id="476" w:name="_Toc530093472"/>
      <w:bookmarkStart w:id="477" w:name="_Toc530093466"/>
      <w:bookmarkStart w:id="478" w:name="_Toc530093479"/>
      <w:bookmarkStart w:id="479" w:name="_Toc530093721"/>
      <w:bookmarkStart w:id="480" w:name="_Toc530093465"/>
      <w:bookmarkStart w:id="481" w:name="_Toc530093735"/>
      <w:bookmarkStart w:id="482" w:name="_Toc530093647"/>
      <w:bookmarkStart w:id="483" w:name="_Toc530093380"/>
      <w:bookmarkStart w:id="484" w:name="_Toc530093485"/>
      <w:bookmarkStart w:id="485" w:name="_Toc530093730"/>
      <w:bookmarkStart w:id="486" w:name="_Toc530093401"/>
      <w:bookmarkStart w:id="487" w:name="_Toc530093653"/>
      <w:bookmarkStart w:id="488" w:name="_Toc530093743"/>
      <w:bookmarkStart w:id="489" w:name="_Toc530090854"/>
      <w:bookmarkStart w:id="490" w:name="_Toc530093468"/>
      <w:bookmarkStart w:id="491" w:name="_Toc530093654"/>
      <w:bookmarkStart w:id="492" w:name="_Toc530093736"/>
      <w:bookmarkStart w:id="493" w:name="_Toc530093731"/>
      <w:bookmarkStart w:id="494" w:name="_Toc530093462"/>
      <w:bookmarkStart w:id="495" w:name="_Toc530093478"/>
      <w:bookmarkStart w:id="496" w:name="_Toc530093407"/>
      <w:bookmarkStart w:id="497" w:name="_Toc530093383"/>
      <w:bookmarkStart w:id="498" w:name="_Toc530093717"/>
      <w:bookmarkStart w:id="499" w:name="_Toc530093707"/>
      <w:bookmarkStart w:id="500" w:name="_Toc530090828"/>
      <w:bookmarkStart w:id="501" w:name="_Toc530090826"/>
      <w:bookmarkStart w:id="502" w:name="_Toc530090868"/>
      <w:bookmarkStart w:id="503" w:name="_Toc530093745"/>
      <w:bookmarkStart w:id="504" w:name="_Toc530090853"/>
      <w:bookmarkStart w:id="505" w:name="_Toc530093467"/>
      <w:bookmarkStart w:id="506" w:name="_Toc530093477"/>
      <w:bookmarkStart w:id="507" w:name="_Toc530093484"/>
      <w:bookmarkStart w:id="508" w:name="_Toc530093461"/>
      <w:bookmarkStart w:id="509" w:name="_Toc530093661"/>
      <w:bookmarkStart w:id="510" w:name="_Toc530090825"/>
      <w:bookmarkStart w:id="511" w:name="_Toc530093390"/>
      <w:bookmarkStart w:id="512" w:name="_Toc530093643"/>
      <w:bookmarkStart w:id="513" w:name="_Toc530093458"/>
      <w:bookmarkStart w:id="514" w:name="_Toc530093381"/>
      <w:bookmarkStart w:id="515" w:name="_Toc530093644"/>
      <w:bookmarkStart w:id="516" w:name="_Toc530093704"/>
      <w:bookmarkStart w:id="517" w:name="_Toc530093741"/>
      <w:bookmarkStart w:id="518" w:name="_Toc530093475"/>
      <w:bookmarkStart w:id="519" w:name="_Toc530093460"/>
      <w:bookmarkStart w:id="520" w:name="_Toc530090851"/>
      <w:bookmarkStart w:id="521" w:name="_Toc530090850"/>
      <w:bookmarkStart w:id="522" w:name="_Toc530093727"/>
      <w:bookmarkStart w:id="523" w:name="_Toc530093633"/>
      <w:bookmarkStart w:id="524" w:name="_Toc530093632"/>
      <w:bookmarkStart w:id="525" w:name="_Toc530093637"/>
      <w:bookmarkStart w:id="526" w:name="_Toc530093482"/>
      <w:bookmarkStart w:id="527" w:name="_Toc530090847"/>
      <w:bookmarkStart w:id="528" w:name="_Toc530090848"/>
      <w:bookmarkStart w:id="529" w:name="_Toc530093724"/>
      <w:bookmarkStart w:id="530" w:name="_Toc530093645"/>
      <w:bookmarkStart w:id="531" w:name="_Toc530093635"/>
      <w:bookmarkStart w:id="532" w:name="_Toc530093386"/>
      <w:bookmarkStart w:id="533" w:name="_Toc530090846"/>
      <w:bookmarkStart w:id="534" w:name="_Toc530093392"/>
      <w:bookmarkStart w:id="535" w:name="_Toc530093716"/>
      <w:bookmarkStart w:id="536" w:name="_Toc530093480"/>
      <w:bookmarkStart w:id="537" w:name="_Toc530093718"/>
      <w:bookmarkStart w:id="538" w:name="_Toc530093403"/>
      <w:bookmarkStart w:id="539" w:name="_Toc530093473"/>
      <w:bookmarkStart w:id="540" w:name="_Toc530090840"/>
      <w:bookmarkStart w:id="541" w:name="_Toc530093476"/>
      <w:bookmarkStart w:id="542" w:name="_Toc530093382"/>
      <w:bookmarkStart w:id="543" w:name="_Toc530093387"/>
      <w:bookmarkStart w:id="544" w:name="_Toc530090836"/>
      <w:bookmarkStart w:id="545" w:name="_Toc530093396"/>
      <w:bookmarkStart w:id="546" w:name="_Toc530093397"/>
      <w:bookmarkStart w:id="547" w:name="_Toc530093715"/>
      <w:bookmarkStart w:id="548" w:name="_Toc530090843"/>
      <w:bookmarkStart w:id="549" w:name="_Toc530093742"/>
      <w:bookmarkStart w:id="550" w:name="_Toc530093416"/>
      <w:bookmarkStart w:id="551" w:name="_Toc530093395"/>
      <w:bookmarkStart w:id="552" w:name="_Toc530093641"/>
      <w:bookmarkStart w:id="553" w:name="_Toc530093714"/>
      <w:bookmarkStart w:id="554" w:name="_Toc530093728"/>
      <w:bookmarkStart w:id="555" w:name="_Toc530093740"/>
      <w:bookmarkStart w:id="556" w:name="_Toc530093720"/>
      <w:bookmarkStart w:id="557" w:name="_Toc530093464"/>
      <w:bookmarkStart w:id="558" w:name="_Toc530090837"/>
      <w:bookmarkStart w:id="559" w:name="_Toc530093640"/>
      <w:bookmarkStart w:id="560" w:name="_Toc530093623"/>
      <w:bookmarkStart w:id="561" w:name="_Toc530090835"/>
      <w:bookmarkStart w:id="562" w:name="_Toc530093469"/>
      <w:bookmarkStart w:id="563" w:name="_Toc530093629"/>
      <w:bookmarkStart w:id="564" w:name="_Toc530090858"/>
      <w:bookmarkStart w:id="565" w:name="_Toc530093656"/>
      <w:bookmarkStart w:id="566" w:name="_Toc530093624"/>
      <w:bookmarkStart w:id="567" w:name="_Toc530090867"/>
      <w:bookmarkStart w:id="568" w:name="_Toc530093625"/>
      <w:bookmarkStart w:id="569" w:name="_Toc530093410"/>
      <w:bookmarkStart w:id="570" w:name="_Toc530093719"/>
      <w:bookmarkStart w:id="571" w:name="_Toc530093402"/>
      <w:bookmarkStart w:id="572" w:name="_Toc530093376"/>
      <w:bookmarkStart w:id="573" w:name="_Toc530093400"/>
      <w:bookmarkStart w:id="574" w:name="_Toc530090860"/>
      <w:bookmarkStart w:id="575" w:name="_Toc530090855"/>
      <w:bookmarkStart w:id="576" w:name="_Toc530093411"/>
      <w:bookmarkStart w:id="577" w:name="_Toc530090866"/>
      <w:bookmarkStart w:id="578" w:name="_Toc530090844"/>
      <w:bookmarkStart w:id="579" w:name="_Toc530093726"/>
      <w:bookmarkStart w:id="580" w:name="_Toc530093662"/>
      <w:bookmarkStart w:id="581" w:name="_Toc530090834"/>
      <w:bookmarkStart w:id="582" w:name="_Toc530093457"/>
      <w:bookmarkStart w:id="583" w:name="_Toc530093378"/>
      <w:bookmarkStart w:id="584" w:name="_Toc530093471"/>
      <w:bookmarkStart w:id="585" w:name="_Toc530093384"/>
      <w:bookmarkStart w:id="586" w:name="_Toc530093744"/>
      <w:bookmarkStart w:id="587" w:name="_Toc530093418"/>
      <w:bookmarkStart w:id="588" w:name="_Toc530090857"/>
      <w:bookmarkStart w:id="589" w:name="_Toc530090831"/>
      <w:bookmarkStart w:id="590" w:name="_Toc530093619"/>
      <w:bookmarkStart w:id="591" w:name="_Toc530093710"/>
      <w:bookmarkStart w:id="592" w:name="_Toc31443"/>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r>
        <w:rPr>
          <w:rFonts w:hint="eastAsia"/>
        </w:rPr>
        <w:t>关联交易</w:t>
      </w:r>
      <w:bookmarkEnd w:id="592"/>
    </w:p>
    <w:p w14:paraId="6E50B9CC" w14:textId="77777777" w:rsidR="000C29B8" w:rsidRDefault="00000000">
      <w:pPr>
        <w:pStyle w:val="afa"/>
        <w:numPr>
          <w:ilvl w:val="0"/>
          <w:numId w:val="33"/>
        </w:numPr>
        <w:spacing w:line="560" w:lineRule="exact"/>
        <w:ind w:left="0" w:firstLine="640"/>
        <w:rPr>
          <w:rFonts w:ascii="仿宋_GB2312" w:hAnsi="宋体"/>
          <w:sz w:val="32"/>
          <w:szCs w:val="32"/>
        </w:rPr>
      </w:pPr>
      <w:r>
        <w:rPr>
          <w:rFonts w:ascii="仿宋_GB2312" w:hAnsi="宋体" w:hint="eastAsia"/>
          <w:sz w:val="32"/>
          <w:szCs w:val="32"/>
        </w:rPr>
        <w:t>上市公司发生关联交易，应当保证关联交易的合法性、必要性、合理性和公允性，保持上市公司的独立性，不得利用关联交易调节财务指标，损害上市公司利益。</w:t>
      </w:r>
    </w:p>
    <w:p w14:paraId="29F4C12B" w14:textId="77777777" w:rsidR="000C29B8" w:rsidRDefault="00000000">
      <w:pPr>
        <w:pStyle w:val="afa"/>
        <w:numPr>
          <w:ilvl w:val="0"/>
          <w:numId w:val="33"/>
        </w:numPr>
        <w:spacing w:line="560" w:lineRule="exact"/>
        <w:ind w:left="0" w:firstLine="640"/>
        <w:rPr>
          <w:rFonts w:ascii="仿宋_GB2312" w:hAnsi="宋体"/>
          <w:sz w:val="32"/>
          <w:szCs w:val="32"/>
        </w:rPr>
      </w:pPr>
      <w:r>
        <w:rPr>
          <w:rFonts w:ascii="仿宋_GB2312" w:hAnsi="黑体" w:hint="eastAsia"/>
          <w:sz w:val="32"/>
          <w:szCs w:val="32"/>
        </w:rPr>
        <w:t>本章所称“关联交易”，是指上市公司或者其合并报表范围内的子公司等其他主体与上市公司关联人之间发生的交易，包括第7.1.1条规定的交易和日常经营范围内发生的可能引致资源或者义务转移的事项。</w:t>
      </w:r>
    </w:p>
    <w:p w14:paraId="2DA3646A" w14:textId="77777777" w:rsidR="000C29B8" w:rsidRDefault="00000000">
      <w:pPr>
        <w:pStyle w:val="afa"/>
        <w:numPr>
          <w:ilvl w:val="0"/>
          <w:numId w:val="33"/>
        </w:numPr>
        <w:spacing w:line="560" w:lineRule="exact"/>
        <w:ind w:left="0" w:firstLine="640"/>
        <w:rPr>
          <w:rFonts w:ascii="仿宋_GB2312" w:hAnsi="宋体"/>
          <w:sz w:val="32"/>
          <w:szCs w:val="32"/>
        </w:rPr>
      </w:pPr>
      <w:r>
        <w:rPr>
          <w:rFonts w:ascii="仿宋_GB2312" w:hAnsi="宋体" w:hint="eastAsia"/>
          <w:sz w:val="32"/>
          <w:szCs w:val="32"/>
        </w:rPr>
        <w:t>上市公司与关联人发生的交易（提供担保除外）达到下列标准之一的，应当及时披露：</w:t>
      </w:r>
    </w:p>
    <w:p w14:paraId="70500F85"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（一）与关联自然人发生的成交金额在30万元以上的交易；</w:t>
      </w:r>
    </w:p>
    <w:p w14:paraId="4A70596D"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（二）与关联法人发生的成交金额占上市公司最近一期经审计总资产或市值0.1%以上的交易，且超过300万元。</w:t>
      </w:r>
    </w:p>
    <w:p w14:paraId="53238B08" w14:textId="77777777" w:rsidR="000C29B8" w:rsidRDefault="00000000">
      <w:pPr>
        <w:pStyle w:val="afa"/>
        <w:numPr>
          <w:ilvl w:val="0"/>
          <w:numId w:val="33"/>
        </w:numPr>
        <w:spacing w:line="560" w:lineRule="exact"/>
        <w:ind w:left="0" w:firstLine="640"/>
        <w:rPr>
          <w:rFonts w:ascii="仿宋_GB2312" w:hAnsi="宋体"/>
          <w:sz w:val="32"/>
          <w:szCs w:val="32"/>
        </w:rPr>
      </w:pPr>
      <w:r>
        <w:rPr>
          <w:rFonts w:ascii="仿宋_GB2312" w:hAnsi="宋体" w:hint="eastAsia"/>
          <w:sz w:val="32"/>
          <w:szCs w:val="32"/>
        </w:rPr>
        <w:t>上市公司与关联人发生的交易金额（提供担保除外）占上市公司最近一期经审计总资产或市值</w:t>
      </w:r>
      <w:r>
        <w:rPr>
          <w:rFonts w:ascii="仿宋_GB2312" w:hAnsi="宋体"/>
          <w:sz w:val="32"/>
          <w:szCs w:val="32"/>
        </w:rPr>
        <w:t>1%</w:t>
      </w:r>
      <w:r>
        <w:rPr>
          <w:rFonts w:ascii="仿宋_GB2312" w:hAnsi="宋体" w:hint="eastAsia"/>
          <w:sz w:val="32"/>
          <w:szCs w:val="32"/>
        </w:rPr>
        <w:t>以上的交易，且超过3000万元，应当比照第7</w:t>
      </w:r>
      <w:r>
        <w:rPr>
          <w:rFonts w:ascii="仿宋_GB2312" w:hAnsi="宋体"/>
          <w:sz w:val="32"/>
          <w:szCs w:val="32"/>
        </w:rPr>
        <w:t>.</w:t>
      </w:r>
      <w:r>
        <w:rPr>
          <w:rFonts w:ascii="仿宋_GB2312" w:hAnsi="宋体" w:hint="eastAsia"/>
          <w:sz w:val="32"/>
          <w:szCs w:val="32"/>
        </w:rPr>
        <w:t>1.9条的规定，提供评估报告或审计报告，并提交股东大会审议。</w:t>
      </w:r>
    </w:p>
    <w:p w14:paraId="159982FB" w14:textId="77777777" w:rsidR="000C29B8" w:rsidRDefault="00000000">
      <w:pPr>
        <w:pStyle w:val="afa"/>
        <w:spacing w:line="560" w:lineRule="exact"/>
        <w:ind w:firstLine="640"/>
        <w:rPr>
          <w:rFonts w:ascii="仿宋_GB2312" w:hAnsi="宋体"/>
          <w:sz w:val="32"/>
          <w:szCs w:val="32"/>
        </w:rPr>
      </w:pPr>
      <w:r>
        <w:rPr>
          <w:rFonts w:ascii="仿宋_GB2312" w:hAnsi="宋体" w:hint="eastAsia"/>
          <w:sz w:val="32"/>
          <w:szCs w:val="32"/>
        </w:rPr>
        <w:t>与日常经营相关的关联交易可免于审计或者评估。</w:t>
      </w:r>
    </w:p>
    <w:p w14:paraId="3D429F31" w14:textId="77777777" w:rsidR="000C29B8" w:rsidRDefault="00000000">
      <w:pPr>
        <w:pStyle w:val="afa"/>
        <w:numPr>
          <w:ilvl w:val="0"/>
          <w:numId w:val="33"/>
        </w:numPr>
        <w:spacing w:line="560" w:lineRule="exact"/>
        <w:ind w:left="0" w:firstLine="640"/>
        <w:rPr>
          <w:rFonts w:ascii="仿宋_GB2312" w:hAnsi="宋体"/>
          <w:sz w:val="32"/>
          <w:szCs w:val="32"/>
        </w:rPr>
      </w:pPr>
      <w:r>
        <w:rPr>
          <w:rFonts w:ascii="仿宋_GB2312" w:hAnsi="宋体" w:hint="eastAsia"/>
          <w:sz w:val="32"/>
          <w:szCs w:val="32"/>
        </w:rPr>
        <w:t>上市公司为关联人提供担保的，应当具备合理的商业逻辑，在董事会审议通过后及时披露，并提交股东大会审议。</w:t>
      </w:r>
    </w:p>
    <w:p w14:paraId="3FE1E3A2"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上市公司为控股股东、实际控制人及其关联方提供担保的，控股股东、实际控制人及其关联方应当提供反担保。</w:t>
      </w:r>
    </w:p>
    <w:p w14:paraId="57E6869B" w14:textId="77777777" w:rsidR="000C29B8" w:rsidRDefault="00000000">
      <w:pPr>
        <w:pStyle w:val="afa"/>
        <w:numPr>
          <w:ilvl w:val="0"/>
          <w:numId w:val="33"/>
        </w:numPr>
        <w:spacing w:line="560" w:lineRule="exact"/>
        <w:ind w:left="0" w:firstLine="640"/>
        <w:rPr>
          <w:rFonts w:ascii="仿宋_GB2312" w:hAnsi="宋体"/>
          <w:kern w:val="28"/>
          <w:sz w:val="32"/>
          <w:szCs w:val="32"/>
        </w:rPr>
      </w:pPr>
      <w:r>
        <w:rPr>
          <w:rFonts w:ascii="仿宋_GB2312" w:hAnsi="宋体" w:hint="eastAsia"/>
          <w:kern w:val="28"/>
          <w:sz w:val="32"/>
          <w:szCs w:val="32"/>
        </w:rPr>
        <w:t>上市公司应当</w:t>
      </w:r>
      <w:proofErr w:type="gramStart"/>
      <w:r>
        <w:rPr>
          <w:rFonts w:ascii="仿宋_GB2312" w:hAnsi="宋体" w:hint="eastAsia"/>
          <w:kern w:val="28"/>
          <w:sz w:val="32"/>
          <w:szCs w:val="32"/>
        </w:rPr>
        <w:t>审慎向</w:t>
      </w:r>
      <w:proofErr w:type="gramEnd"/>
      <w:r>
        <w:rPr>
          <w:rFonts w:ascii="仿宋_GB2312" w:hAnsi="宋体" w:hint="eastAsia"/>
          <w:kern w:val="28"/>
          <w:sz w:val="32"/>
          <w:szCs w:val="32"/>
        </w:rPr>
        <w:t>关联方提供财务资助或委托理财；确有必要的，</w:t>
      </w:r>
      <w:r>
        <w:rPr>
          <w:rFonts w:ascii="仿宋_GB2312" w:hAnsi="宋体" w:hint="eastAsia"/>
          <w:sz w:val="32"/>
          <w:szCs w:val="32"/>
        </w:rPr>
        <w:t>应当以发生额作为披露的计算标准，在连续12个月内累计计算，适用第7.2.3条或者第7.2.4条</w:t>
      </w:r>
      <w:r>
        <w:rPr>
          <w:rFonts w:ascii="仿宋_GB2312" w:hAnsi="宋体" w:hint="eastAsia"/>
          <w:kern w:val="28"/>
          <w:sz w:val="32"/>
          <w:szCs w:val="32"/>
        </w:rPr>
        <w:t>。</w:t>
      </w:r>
    </w:p>
    <w:p w14:paraId="41C6D076"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已经按照第7.2.3条或者第7.2.4条履行相关义务的，不再纳入相关的累计计算范围。</w:t>
      </w:r>
    </w:p>
    <w:p w14:paraId="033804C8" w14:textId="77777777" w:rsidR="000C29B8" w:rsidRDefault="00000000">
      <w:pPr>
        <w:pStyle w:val="afa"/>
        <w:numPr>
          <w:ilvl w:val="0"/>
          <w:numId w:val="33"/>
        </w:numPr>
        <w:spacing w:line="560" w:lineRule="exact"/>
        <w:ind w:left="0" w:firstLine="640"/>
        <w:rPr>
          <w:rFonts w:ascii="仿宋_GB2312" w:hAnsi="宋体"/>
          <w:sz w:val="32"/>
          <w:szCs w:val="32"/>
        </w:rPr>
      </w:pPr>
      <w:r>
        <w:rPr>
          <w:rFonts w:ascii="仿宋_GB2312" w:hAnsi="宋体" w:hint="eastAsia"/>
          <w:kern w:val="28"/>
          <w:sz w:val="32"/>
          <w:szCs w:val="32"/>
        </w:rPr>
        <w:t>上市公司应当对下列交易，按照</w:t>
      </w:r>
      <w:r>
        <w:rPr>
          <w:rFonts w:ascii="仿宋_GB2312" w:hAnsi="宋体" w:hint="eastAsia"/>
          <w:sz w:val="32"/>
          <w:szCs w:val="32"/>
        </w:rPr>
        <w:t>连续12个月内累计计算的原则，分别适用第7.2.3条和第7.2.4条：</w:t>
      </w:r>
    </w:p>
    <w:p w14:paraId="171C0BD4" w14:textId="77777777" w:rsidR="000C29B8" w:rsidRDefault="00000000">
      <w:pPr>
        <w:tabs>
          <w:tab w:val="left" w:pos="1260"/>
        </w:tabs>
        <w:spacing w:line="560" w:lineRule="exact"/>
        <w:ind w:firstLineChars="200" w:firstLine="640"/>
        <w:rPr>
          <w:rFonts w:ascii="仿宋_GB2312" w:eastAsia="仿宋_GB2312"/>
          <w:sz w:val="32"/>
          <w:szCs w:val="32"/>
        </w:rPr>
      </w:pPr>
      <w:r>
        <w:rPr>
          <w:rFonts w:ascii="仿宋_GB2312" w:eastAsia="仿宋_GB2312" w:hint="eastAsia"/>
          <w:sz w:val="32"/>
          <w:szCs w:val="32"/>
        </w:rPr>
        <w:t>（一）与同一关联人进行的交易；</w:t>
      </w:r>
    </w:p>
    <w:p w14:paraId="29FE8D13" w14:textId="77777777" w:rsidR="000C29B8" w:rsidRDefault="00000000">
      <w:pPr>
        <w:tabs>
          <w:tab w:val="left" w:pos="1260"/>
        </w:tabs>
        <w:spacing w:line="560" w:lineRule="exact"/>
        <w:ind w:firstLineChars="200" w:firstLine="640"/>
        <w:rPr>
          <w:rFonts w:ascii="仿宋_GB2312" w:eastAsia="仿宋_GB2312"/>
          <w:kern w:val="28"/>
          <w:sz w:val="32"/>
          <w:szCs w:val="32"/>
          <w:shd w:val="pct10" w:color="auto" w:fill="FFFFFF"/>
        </w:rPr>
      </w:pPr>
      <w:r>
        <w:rPr>
          <w:rFonts w:ascii="仿宋_GB2312" w:eastAsia="仿宋_GB2312" w:hint="eastAsia"/>
          <w:sz w:val="32"/>
          <w:szCs w:val="32"/>
        </w:rPr>
        <w:t>（二）与不同关联人进行交易标的类别相关的交易。</w:t>
      </w:r>
    </w:p>
    <w:p w14:paraId="2576E034" w14:textId="77777777" w:rsidR="000C29B8" w:rsidRDefault="00000000">
      <w:pPr>
        <w:spacing w:line="560" w:lineRule="exact"/>
        <w:ind w:firstLineChars="200" w:firstLine="640"/>
        <w:rPr>
          <w:rFonts w:ascii="仿宋_GB2312" w:eastAsia="仿宋_GB2312" w:hAnsi="宋体"/>
          <w:kern w:val="28"/>
          <w:sz w:val="32"/>
          <w:szCs w:val="32"/>
        </w:rPr>
      </w:pPr>
      <w:r>
        <w:rPr>
          <w:rFonts w:ascii="仿宋_GB2312" w:eastAsia="仿宋_GB2312" w:hint="eastAsia"/>
          <w:kern w:val="28"/>
          <w:sz w:val="32"/>
          <w:szCs w:val="32"/>
        </w:rPr>
        <w:t>上述同一关联人，包括与该</w:t>
      </w:r>
      <w:r>
        <w:rPr>
          <w:rFonts w:ascii="仿宋_GB2312" w:eastAsia="仿宋_GB2312" w:hint="eastAsia"/>
          <w:sz w:val="32"/>
          <w:szCs w:val="32"/>
        </w:rPr>
        <w:t>关联人</w:t>
      </w:r>
      <w:r>
        <w:rPr>
          <w:rFonts w:ascii="仿宋_GB2312" w:eastAsia="仿宋_GB2312" w:hAnsi="宋体" w:hint="eastAsia"/>
          <w:kern w:val="28"/>
          <w:sz w:val="32"/>
          <w:szCs w:val="32"/>
        </w:rPr>
        <w:t>受同一实际控制人控制，或者</w:t>
      </w:r>
      <w:r>
        <w:rPr>
          <w:rFonts w:ascii="仿宋_GB2312" w:eastAsia="仿宋_GB2312" w:hint="eastAsia"/>
          <w:sz w:val="32"/>
          <w:szCs w:val="32"/>
        </w:rPr>
        <w:t>存在股权控制关系</w:t>
      </w:r>
      <w:r>
        <w:rPr>
          <w:rFonts w:ascii="仿宋_GB2312" w:eastAsia="仿宋_GB2312" w:hAnsi="宋体" w:hint="eastAsia"/>
          <w:kern w:val="28"/>
          <w:sz w:val="32"/>
          <w:szCs w:val="32"/>
        </w:rPr>
        <w:t>，或者由同一自然人担任董事或高级管理人员的</w:t>
      </w:r>
      <w:r>
        <w:rPr>
          <w:rFonts w:ascii="仿宋_GB2312" w:eastAsia="仿宋_GB2312" w:hint="eastAsia"/>
          <w:kern w:val="28"/>
          <w:sz w:val="32"/>
          <w:szCs w:val="32"/>
        </w:rPr>
        <w:t>法人或其他组织</w:t>
      </w:r>
      <w:r>
        <w:rPr>
          <w:rFonts w:ascii="仿宋_GB2312" w:eastAsia="仿宋_GB2312" w:hAnsi="宋体" w:hint="eastAsia"/>
          <w:kern w:val="28"/>
          <w:sz w:val="32"/>
          <w:szCs w:val="32"/>
        </w:rPr>
        <w:t>。</w:t>
      </w:r>
    </w:p>
    <w:p w14:paraId="5C83FD9C" w14:textId="77777777" w:rsidR="000C29B8" w:rsidRDefault="00000000">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已经按照本章规定履行相关义务的，不再纳入累计计算范围。</w:t>
      </w:r>
    </w:p>
    <w:p w14:paraId="4EA537E4" w14:textId="77777777" w:rsidR="000C29B8" w:rsidRDefault="00000000">
      <w:pPr>
        <w:pStyle w:val="afa"/>
        <w:numPr>
          <w:ilvl w:val="0"/>
          <w:numId w:val="33"/>
        </w:numPr>
        <w:spacing w:line="560" w:lineRule="exact"/>
        <w:ind w:left="0" w:firstLine="640"/>
        <w:rPr>
          <w:rFonts w:ascii="仿宋_GB2312" w:hAnsi="宋体"/>
          <w:kern w:val="28"/>
          <w:sz w:val="32"/>
          <w:szCs w:val="32"/>
        </w:rPr>
      </w:pPr>
      <w:r>
        <w:rPr>
          <w:rFonts w:ascii="仿宋_GB2312" w:hAnsi="宋体" w:hint="eastAsia"/>
          <w:kern w:val="28"/>
          <w:sz w:val="32"/>
          <w:szCs w:val="32"/>
        </w:rPr>
        <w:t>上市公司与关联人进行日常关联交易时，按照下列规定披露和履行审议程序：</w:t>
      </w:r>
    </w:p>
    <w:p w14:paraId="335E0716"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（一）上市公司可以按类别合理预计日常关联交易年度金额，履行审议程序并披露；实际执行超出预计金额的，应当按照超出金额重新履行审议程序并披露；</w:t>
      </w:r>
    </w:p>
    <w:p w14:paraId="3942A7FE"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（二）上市公司年度报告和半年度报告应当分类汇总披露日常关联交易；</w:t>
      </w:r>
    </w:p>
    <w:p w14:paraId="4D337C50"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Ansi="宋体" w:hint="eastAsia"/>
          <w:kern w:val="28"/>
          <w:sz w:val="32"/>
          <w:szCs w:val="32"/>
        </w:rPr>
        <w:lastRenderedPageBreak/>
        <w:t>（三）上市公司与关联人签订的日常关联交易协议期限超过3年的，应当每3年重新履行相关审议程序和披露义务。</w:t>
      </w:r>
    </w:p>
    <w:p w14:paraId="4B34D603" w14:textId="77777777" w:rsidR="000C29B8" w:rsidRDefault="00000000">
      <w:pPr>
        <w:pStyle w:val="afa"/>
        <w:numPr>
          <w:ilvl w:val="0"/>
          <w:numId w:val="33"/>
        </w:numPr>
        <w:spacing w:line="560" w:lineRule="exact"/>
        <w:ind w:left="0" w:firstLine="640"/>
        <w:rPr>
          <w:rFonts w:ascii="仿宋_GB2312" w:hAnsi="宋体"/>
          <w:sz w:val="32"/>
          <w:szCs w:val="32"/>
        </w:rPr>
      </w:pPr>
      <w:r>
        <w:rPr>
          <w:rFonts w:ascii="仿宋_GB2312" w:hAnsi="宋体" w:hint="eastAsia"/>
          <w:sz w:val="32"/>
          <w:szCs w:val="32"/>
        </w:rPr>
        <w:t>上市公司达到披露标准的关联交易，应当经全体独立董事过半数同意后，提交董事会审议并及时披露。</w:t>
      </w:r>
    </w:p>
    <w:p w14:paraId="45031FD5" w14:textId="77777777" w:rsidR="000C29B8" w:rsidRDefault="00000000">
      <w:pPr>
        <w:pStyle w:val="afa"/>
        <w:numPr>
          <w:ilvl w:val="0"/>
          <w:numId w:val="33"/>
        </w:numPr>
        <w:spacing w:line="560" w:lineRule="exact"/>
        <w:ind w:left="0" w:firstLine="640"/>
        <w:rPr>
          <w:rFonts w:ascii="仿宋_GB2312" w:hAnsi="宋体"/>
          <w:sz w:val="32"/>
          <w:szCs w:val="32"/>
        </w:rPr>
      </w:pPr>
      <w:r>
        <w:rPr>
          <w:rFonts w:ascii="仿宋_GB2312" w:hAnsi="宋体" w:hint="eastAsia"/>
          <w:sz w:val="32"/>
          <w:szCs w:val="32"/>
        </w:rPr>
        <w:t>上市公司董事会审议关联交易事项的，关联董事应当回避表决，并不得代理其他董事行使表决权。</w:t>
      </w:r>
    </w:p>
    <w:p w14:paraId="23E91A0E" w14:textId="77777777" w:rsidR="000C29B8" w:rsidRDefault="00000000">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董事会会议应当由过半数的非关联董事出席，所作决议须经非关联董事过半数通过。出席董事会会议的非关联董事人数不足3人的，公司应当将交易事项提交股东大会审议。</w:t>
      </w:r>
    </w:p>
    <w:p w14:paraId="40993F3C"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上市公司股东大会审议关联交易事项时，关联股东应当回避表决，并不得代理其他股东行使表决权。</w:t>
      </w:r>
    </w:p>
    <w:p w14:paraId="521BCAD2" w14:textId="77777777" w:rsidR="000C29B8" w:rsidRDefault="00000000">
      <w:pPr>
        <w:pStyle w:val="afa"/>
        <w:numPr>
          <w:ilvl w:val="0"/>
          <w:numId w:val="33"/>
        </w:numPr>
        <w:spacing w:line="560" w:lineRule="exact"/>
        <w:ind w:left="0" w:firstLine="640"/>
        <w:rPr>
          <w:rFonts w:ascii="仿宋_GB2312" w:hAnsi="宋体"/>
          <w:sz w:val="32"/>
          <w:szCs w:val="32"/>
        </w:rPr>
      </w:pPr>
      <w:r>
        <w:rPr>
          <w:rFonts w:ascii="仿宋_GB2312" w:hAnsi="宋体" w:hint="eastAsia"/>
          <w:sz w:val="32"/>
          <w:szCs w:val="32"/>
        </w:rPr>
        <w:t>上市公司与关联人发生的下列交易，可以免予按照关联交易的方式审议和披露：</w:t>
      </w:r>
    </w:p>
    <w:p w14:paraId="0F40B4F5" w14:textId="77777777" w:rsidR="000C29B8" w:rsidRDefault="00000000">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（一）一方以现金方式认购另一方公开发行的股票、公司债券或企业债券、可转换公司债</w:t>
      </w:r>
      <w:proofErr w:type="gramStart"/>
      <w:r>
        <w:rPr>
          <w:rFonts w:ascii="仿宋_GB2312" w:eastAsia="仿宋_GB2312" w:hAnsi="宋体" w:hint="eastAsia"/>
          <w:sz w:val="32"/>
          <w:szCs w:val="32"/>
        </w:rPr>
        <w:t>券</w:t>
      </w:r>
      <w:proofErr w:type="gramEnd"/>
      <w:r>
        <w:rPr>
          <w:rFonts w:ascii="仿宋_GB2312" w:eastAsia="仿宋_GB2312" w:hAnsi="宋体" w:hint="eastAsia"/>
          <w:sz w:val="32"/>
          <w:szCs w:val="32"/>
        </w:rPr>
        <w:t>或者其他衍生品种；</w:t>
      </w:r>
    </w:p>
    <w:p w14:paraId="406AC63D" w14:textId="77777777" w:rsidR="000C29B8" w:rsidRDefault="00000000">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（二）一方作为承销团成员承销另一方公开发行的股票、公司债券或企业债券、可转换公司债</w:t>
      </w:r>
      <w:proofErr w:type="gramStart"/>
      <w:r>
        <w:rPr>
          <w:rFonts w:ascii="仿宋_GB2312" w:eastAsia="仿宋_GB2312" w:hAnsi="宋体" w:hint="eastAsia"/>
          <w:sz w:val="32"/>
          <w:szCs w:val="32"/>
        </w:rPr>
        <w:t>券</w:t>
      </w:r>
      <w:proofErr w:type="gramEnd"/>
      <w:r>
        <w:rPr>
          <w:rFonts w:ascii="仿宋_GB2312" w:eastAsia="仿宋_GB2312" w:hAnsi="宋体" w:hint="eastAsia"/>
          <w:sz w:val="32"/>
          <w:szCs w:val="32"/>
        </w:rPr>
        <w:t>或者其他衍生品种；</w:t>
      </w:r>
    </w:p>
    <w:p w14:paraId="5B43E494" w14:textId="77777777" w:rsidR="000C29B8" w:rsidRDefault="00000000">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（三）一方依据另一方股东大会决议领取股息、红利或者薪酬；</w:t>
      </w:r>
    </w:p>
    <w:p w14:paraId="56A4FA79" w14:textId="77777777" w:rsidR="000C29B8" w:rsidRDefault="00000000">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（四）一方参与另一方公开招标或者拍卖，但是招标或者拍卖难以形成公允价格的除外；</w:t>
      </w:r>
    </w:p>
    <w:p w14:paraId="1229E5B4" w14:textId="77777777" w:rsidR="000C29B8" w:rsidRDefault="00000000">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（五）上市公司单方面获得利益的交易，包括受赠现金资产、获得债务减免、接受担保和资助等；</w:t>
      </w:r>
    </w:p>
    <w:p w14:paraId="6C5DD386" w14:textId="77777777" w:rsidR="000C29B8" w:rsidRDefault="00000000">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（六）关联交易定价为国家规定；</w:t>
      </w:r>
    </w:p>
    <w:p w14:paraId="6688B12A" w14:textId="77777777" w:rsidR="000C29B8" w:rsidRDefault="00000000">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lastRenderedPageBreak/>
        <w:t>（七）关联人向上市公司提供资金，利率水平不高于中国人民银行规定的同期贷款基准利率，且上市公司对该项财务资助无相应担保；</w:t>
      </w:r>
    </w:p>
    <w:p w14:paraId="25019145" w14:textId="77777777" w:rsidR="000C29B8" w:rsidRDefault="00000000">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（八）上市公司按与非关联人同等交易条件，向董事、监事、高级管理人员提供产品和服务；</w:t>
      </w:r>
    </w:p>
    <w:p w14:paraId="482EC4F4" w14:textId="77777777" w:rsidR="000C29B8" w:rsidRDefault="00000000">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（九）本所认定的其他交易。</w:t>
      </w:r>
    </w:p>
    <w:p w14:paraId="4546AA05" w14:textId="77777777" w:rsidR="000C29B8" w:rsidRDefault="00000000">
      <w:pPr>
        <w:pStyle w:val="afa"/>
        <w:numPr>
          <w:ilvl w:val="0"/>
          <w:numId w:val="33"/>
        </w:numPr>
        <w:spacing w:line="560" w:lineRule="exact"/>
        <w:ind w:left="0" w:firstLine="640"/>
        <w:rPr>
          <w:rFonts w:ascii="仿宋_GB2312" w:hAnsi="宋体"/>
          <w:sz w:val="32"/>
          <w:szCs w:val="32"/>
        </w:rPr>
      </w:pPr>
      <w:r>
        <w:rPr>
          <w:rFonts w:ascii="仿宋_GB2312" w:hAnsi="宋体" w:hint="eastAsia"/>
          <w:sz w:val="32"/>
          <w:szCs w:val="32"/>
        </w:rPr>
        <w:t>本所可以根据实质重于形式的原则，将上市公司与相关方的交易认定为关联交易。上市公司应当按照第</w:t>
      </w:r>
      <w:r>
        <w:rPr>
          <w:rFonts w:ascii="仿宋_GB2312" w:hAnsi="宋体"/>
          <w:sz w:val="32"/>
          <w:szCs w:val="32"/>
        </w:rPr>
        <w:t>7.2.3</w:t>
      </w:r>
      <w:r>
        <w:rPr>
          <w:rFonts w:ascii="仿宋_GB2312" w:hAnsi="宋体" w:hint="eastAsia"/>
          <w:sz w:val="32"/>
          <w:szCs w:val="32"/>
        </w:rPr>
        <w:t>条或者第</w:t>
      </w:r>
      <w:r>
        <w:rPr>
          <w:rFonts w:ascii="仿宋_GB2312" w:hAnsi="宋体"/>
          <w:sz w:val="32"/>
          <w:szCs w:val="32"/>
        </w:rPr>
        <w:t>7.2.4</w:t>
      </w:r>
      <w:r>
        <w:rPr>
          <w:rFonts w:ascii="仿宋_GB2312" w:hAnsi="宋体" w:hint="eastAsia"/>
          <w:sz w:val="32"/>
          <w:szCs w:val="32"/>
        </w:rPr>
        <w:t>条的规定履行披露义务和审议程序。</w:t>
      </w:r>
    </w:p>
    <w:p w14:paraId="42F55270" w14:textId="77777777" w:rsidR="000C29B8" w:rsidRDefault="00000000">
      <w:pPr>
        <w:pStyle w:val="afa"/>
        <w:numPr>
          <w:ilvl w:val="0"/>
          <w:numId w:val="33"/>
        </w:numPr>
        <w:spacing w:line="560" w:lineRule="exact"/>
        <w:ind w:left="0" w:firstLine="640"/>
        <w:rPr>
          <w:rFonts w:ascii="仿宋_GB2312" w:hAnsi="宋体"/>
          <w:sz w:val="32"/>
          <w:szCs w:val="32"/>
        </w:rPr>
      </w:pPr>
      <w:r>
        <w:rPr>
          <w:rFonts w:ascii="仿宋_GB2312" w:hAnsi="宋体" w:hint="eastAsia"/>
          <w:sz w:val="32"/>
          <w:szCs w:val="32"/>
        </w:rPr>
        <w:t>上市公司计算披露或审议关联交易的相关金额，本节没有规定的，适用本章第一节的规定。</w:t>
      </w:r>
    </w:p>
    <w:p w14:paraId="58687D9C" w14:textId="77777777" w:rsidR="000C29B8" w:rsidRDefault="000C29B8">
      <w:pPr>
        <w:tabs>
          <w:tab w:val="left" w:pos="1560"/>
        </w:tabs>
        <w:snapToGrid w:val="0"/>
        <w:spacing w:line="560" w:lineRule="exact"/>
        <w:rPr>
          <w:rFonts w:ascii="仿宋_GB2312" w:eastAsia="仿宋_GB2312"/>
          <w:sz w:val="32"/>
          <w:szCs w:val="32"/>
        </w:rPr>
      </w:pPr>
    </w:p>
    <w:p w14:paraId="3BA7AB3B" w14:textId="77777777" w:rsidR="000C29B8" w:rsidRDefault="00000000">
      <w:pPr>
        <w:pStyle w:val="6"/>
        <w:rPr>
          <w:b/>
        </w:rPr>
      </w:pPr>
      <w:bookmarkStart w:id="593" w:name="_Toc21852"/>
      <w:r>
        <w:rPr>
          <w:rFonts w:hint="eastAsia"/>
        </w:rPr>
        <w:t>应当披露的行业信息和经营风险</w:t>
      </w:r>
      <w:bookmarkEnd w:id="593"/>
    </w:p>
    <w:p w14:paraId="2A60BCF1" w14:textId="77777777" w:rsidR="000C29B8" w:rsidRDefault="00000000">
      <w:pPr>
        <w:pStyle w:val="23"/>
        <w:numPr>
          <w:ilvl w:val="1"/>
          <w:numId w:val="1"/>
        </w:numPr>
        <w:ind w:left="0" w:firstLine="643"/>
      </w:pPr>
      <w:bookmarkStart w:id="594" w:name="_Toc19480"/>
      <w:r>
        <w:rPr>
          <w:rFonts w:hint="eastAsia"/>
        </w:rPr>
        <w:t>行业信息</w:t>
      </w:r>
      <w:bookmarkEnd w:id="594"/>
    </w:p>
    <w:p w14:paraId="5C3D4077" w14:textId="77777777" w:rsidR="000C29B8" w:rsidRDefault="00000000">
      <w:pPr>
        <w:numPr>
          <w:ilvl w:val="2"/>
          <w:numId w:val="34"/>
        </w:numPr>
        <w:tabs>
          <w:tab w:val="clear" w:pos="1107"/>
          <w:tab w:val="left" w:pos="0"/>
          <w:tab w:val="left" w:pos="1418"/>
        </w:tabs>
        <w:autoSpaceDE w:val="0"/>
        <w:autoSpaceDN w:val="0"/>
        <w:adjustRightInd w:val="0"/>
        <w:snapToGrid w:val="0"/>
        <w:spacing w:line="560" w:lineRule="exact"/>
        <w:ind w:left="0" w:firstLineChars="200" w:firstLine="640"/>
        <w:rPr>
          <w:rFonts w:ascii="仿宋_GB2312" w:eastAsia="仿宋_GB2312" w:hAnsi="宋体" w:cs="宋体"/>
          <w:kern w:val="0"/>
          <w:sz w:val="32"/>
          <w:szCs w:val="32"/>
        </w:rPr>
      </w:pPr>
      <w:r>
        <w:rPr>
          <w:rFonts w:eastAsia="仿宋_GB2312" w:hint="eastAsia"/>
          <w:kern w:val="0"/>
          <w:sz w:val="32"/>
          <w:szCs w:val="32"/>
        </w:rPr>
        <w:t>上市公司应当主动披露对股票交易价格或者投资者决策有重大影响的行业信息</w:t>
      </w:r>
      <w:r>
        <w:rPr>
          <w:rFonts w:ascii="仿宋_GB2312" w:eastAsia="仿宋_GB2312" w:hAnsi="宋体" w:hint="eastAsia"/>
          <w:sz w:val="32"/>
          <w:szCs w:val="32"/>
        </w:rPr>
        <w:t>。</w:t>
      </w:r>
    </w:p>
    <w:p w14:paraId="34DF0A0B" w14:textId="77777777" w:rsidR="000C29B8" w:rsidRDefault="00000000">
      <w:pPr>
        <w:pStyle w:val="afa"/>
        <w:spacing w:line="560" w:lineRule="exact"/>
        <w:ind w:firstLine="640"/>
        <w:rPr>
          <w:sz w:val="32"/>
          <w:szCs w:val="32"/>
        </w:rPr>
      </w:pPr>
      <w:r>
        <w:rPr>
          <w:rFonts w:hint="eastAsia"/>
          <w:sz w:val="32"/>
          <w:szCs w:val="32"/>
        </w:rPr>
        <w:t>上市公司根据行业分类归属，参照适用本所制定的行业信息披露指引。</w:t>
      </w:r>
    </w:p>
    <w:p w14:paraId="6B9128A7" w14:textId="77777777" w:rsidR="000C29B8" w:rsidRDefault="00000000">
      <w:pPr>
        <w:numPr>
          <w:ilvl w:val="2"/>
          <w:numId w:val="34"/>
        </w:numPr>
        <w:tabs>
          <w:tab w:val="clear" w:pos="1107"/>
          <w:tab w:val="left" w:pos="0"/>
          <w:tab w:val="left" w:pos="1418"/>
        </w:tabs>
        <w:autoSpaceDE w:val="0"/>
        <w:autoSpaceDN w:val="0"/>
        <w:adjustRightInd w:val="0"/>
        <w:snapToGrid w:val="0"/>
        <w:spacing w:line="560" w:lineRule="exact"/>
        <w:ind w:left="0"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上市公司应当在年度报告中，结合其所属行业的政策环境和发展状况，披露下列行业信息： </w:t>
      </w:r>
    </w:p>
    <w:p w14:paraId="3AD174A5" w14:textId="77777777" w:rsidR="000C29B8" w:rsidRDefault="00000000">
      <w:pPr>
        <w:autoSpaceDE w:val="0"/>
        <w:autoSpaceDN w:val="0"/>
        <w:adjustRightInd w:val="0"/>
        <w:spacing w:line="560" w:lineRule="exact"/>
        <w:ind w:firstLineChars="200" w:firstLine="640"/>
        <w:rPr>
          <w:rFonts w:ascii="仿宋_GB2312" w:eastAsia="仿宋_GB2312"/>
          <w:sz w:val="32"/>
          <w:szCs w:val="32"/>
        </w:rPr>
      </w:pPr>
      <w:r>
        <w:rPr>
          <w:rFonts w:ascii="仿宋_GB2312" w:eastAsia="仿宋_GB2312" w:hint="eastAsia"/>
          <w:sz w:val="32"/>
          <w:szCs w:val="32"/>
        </w:rPr>
        <w:t>（一）所处行业的基本特点、主要技术门槛，报告期内新技术、新产业、新业态、新模式的发展情况和未来发展趋势；</w:t>
      </w:r>
    </w:p>
    <w:p w14:paraId="1074C007" w14:textId="77777777" w:rsidR="000C29B8" w:rsidRDefault="00000000">
      <w:pPr>
        <w:autoSpaceDE w:val="0"/>
        <w:autoSpaceDN w:val="0"/>
        <w:adjustRightInd w:val="0"/>
        <w:spacing w:line="560" w:lineRule="exact"/>
        <w:ind w:firstLineChars="200" w:firstLine="640"/>
        <w:rPr>
          <w:rFonts w:ascii="仿宋_GB2312" w:eastAsia="仿宋_GB2312"/>
          <w:sz w:val="32"/>
          <w:szCs w:val="32"/>
        </w:rPr>
      </w:pPr>
      <w:r>
        <w:rPr>
          <w:rFonts w:ascii="仿宋_GB2312" w:eastAsia="仿宋_GB2312" w:hint="eastAsia"/>
          <w:sz w:val="32"/>
          <w:szCs w:val="32"/>
        </w:rPr>
        <w:t>（二）核心竞争优势，核心经营团队和技术团队的竞争</w:t>
      </w:r>
      <w:r>
        <w:rPr>
          <w:rFonts w:ascii="仿宋_GB2312" w:eastAsia="仿宋_GB2312" w:hint="eastAsia"/>
          <w:sz w:val="32"/>
          <w:szCs w:val="32"/>
        </w:rPr>
        <w:lastRenderedPageBreak/>
        <w:t>力分析，以及报告期内获得相关权利证书或者批准文件的核心技术储备；</w:t>
      </w:r>
    </w:p>
    <w:p w14:paraId="69F7771A" w14:textId="77777777" w:rsidR="000C29B8" w:rsidRDefault="00000000">
      <w:pPr>
        <w:autoSpaceDE w:val="0"/>
        <w:autoSpaceDN w:val="0"/>
        <w:adjustRightInd w:val="0"/>
        <w:spacing w:line="560" w:lineRule="exact"/>
        <w:ind w:firstLineChars="200" w:firstLine="640"/>
        <w:rPr>
          <w:rFonts w:ascii="仿宋_GB2312" w:eastAsia="仿宋_GB2312"/>
          <w:sz w:val="32"/>
          <w:szCs w:val="32"/>
        </w:rPr>
      </w:pPr>
      <w:r>
        <w:rPr>
          <w:rFonts w:ascii="仿宋_GB2312" w:eastAsia="仿宋_GB2312" w:hint="eastAsia"/>
          <w:sz w:val="32"/>
          <w:szCs w:val="32"/>
        </w:rPr>
        <w:t>（三）当期研发支出金额及占销售收入的比例、研发支出的构成项目、费用化及资本化的金额及比重；</w:t>
      </w:r>
    </w:p>
    <w:p w14:paraId="55A100E1" w14:textId="77777777" w:rsidR="000C29B8" w:rsidRDefault="00000000">
      <w:pPr>
        <w:autoSpaceDE w:val="0"/>
        <w:autoSpaceDN w:val="0"/>
        <w:adjustRightInd w:val="0"/>
        <w:spacing w:line="560" w:lineRule="exact"/>
        <w:ind w:firstLineChars="200" w:firstLine="640"/>
        <w:rPr>
          <w:rFonts w:ascii="仿宋_GB2312" w:eastAsia="仿宋_GB2312"/>
          <w:sz w:val="32"/>
          <w:szCs w:val="32"/>
        </w:rPr>
      </w:pPr>
      <w:r>
        <w:rPr>
          <w:rFonts w:ascii="仿宋_GB2312" w:eastAsia="仿宋_GB2312" w:hint="eastAsia"/>
          <w:sz w:val="32"/>
          <w:szCs w:val="32"/>
        </w:rPr>
        <w:t>（四）在</w:t>
      </w:r>
      <w:proofErr w:type="gramStart"/>
      <w:r>
        <w:rPr>
          <w:rFonts w:ascii="仿宋_GB2312" w:eastAsia="仿宋_GB2312" w:hint="eastAsia"/>
          <w:sz w:val="32"/>
          <w:szCs w:val="32"/>
        </w:rPr>
        <w:t>研</w:t>
      </w:r>
      <w:proofErr w:type="gramEnd"/>
      <w:r>
        <w:rPr>
          <w:rFonts w:ascii="仿宋_GB2312" w:eastAsia="仿宋_GB2312" w:hint="eastAsia"/>
          <w:sz w:val="32"/>
          <w:szCs w:val="32"/>
        </w:rPr>
        <w:t>产品或项目的进展或阶段性成果；研发项目预计总投资规模、应用前景以及可能存在的重大风险；</w:t>
      </w:r>
    </w:p>
    <w:p w14:paraId="1CAB88D0" w14:textId="77777777" w:rsidR="000C29B8" w:rsidRDefault="00000000">
      <w:pPr>
        <w:autoSpaceDE w:val="0"/>
        <w:autoSpaceDN w:val="0"/>
        <w:adjustRightInd w:val="0"/>
        <w:spacing w:line="560" w:lineRule="exact"/>
        <w:ind w:firstLineChars="200" w:firstLine="640"/>
        <w:rPr>
          <w:rFonts w:ascii="仿宋_GB2312" w:eastAsia="仿宋_GB2312"/>
          <w:sz w:val="32"/>
          <w:szCs w:val="32"/>
        </w:rPr>
      </w:pPr>
      <w:r>
        <w:rPr>
          <w:rFonts w:ascii="仿宋_GB2312" w:eastAsia="仿宋_GB2312" w:hint="eastAsia"/>
          <w:sz w:val="32"/>
          <w:szCs w:val="32"/>
        </w:rPr>
        <w:t>（五）其他有助于投资者决策的行业信息。</w:t>
      </w:r>
    </w:p>
    <w:p w14:paraId="7BAC5B91" w14:textId="77777777" w:rsidR="000C29B8" w:rsidRDefault="00000000">
      <w:pPr>
        <w:autoSpaceDE w:val="0"/>
        <w:autoSpaceDN w:val="0"/>
        <w:adjustRightInd w:val="0"/>
        <w:spacing w:line="560" w:lineRule="exact"/>
        <w:ind w:firstLineChars="200" w:firstLine="640"/>
        <w:rPr>
          <w:rFonts w:ascii="仿宋_GB2312" w:eastAsia="仿宋_GB2312"/>
          <w:sz w:val="32"/>
          <w:szCs w:val="32"/>
        </w:rPr>
      </w:pPr>
      <w:r>
        <w:rPr>
          <w:rFonts w:ascii="仿宋_GB2312" w:eastAsia="仿宋_GB2312" w:hint="eastAsia"/>
          <w:sz w:val="32"/>
          <w:szCs w:val="32"/>
        </w:rPr>
        <w:t>上市公司可以在《企业会计准则》规定范围外，披露</w:t>
      </w:r>
      <w:proofErr w:type="gramStart"/>
      <w:r>
        <w:rPr>
          <w:rFonts w:ascii="仿宋_GB2312" w:eastAsia="仿宋_GB2312" w:hint="eastAsia"/>
          <w:sz w:val="32"/>
          <w:szCs w:val="32"/>
        </w:rPr>
        <w:t>息</w:t>
      </w:r>
      <w:proofErr w:type="gramEnd"/>
      <w:r>
        <w:rPr>
          <w:rFonts w:ascii="仿宋_GB2312" w:eastAsia="仿宋_GB2312" w:hint="eastAsia"/>
          <w:sz w:val="32"/>
          <w:szCs w:val="32"/>
        </w:rPr>
        <w:t>税前利润、自由现金流等反映公司价值和行业核心竞争力的参考指标。</w:t>
      </w:r>
    </w:p>
    <w:p w14:paraId="1E41B8DF" w14:textId="77777777" w:rsidR="000C29B8" w:rsidRDefault="00000000">
      <w:pPr>
        <w:autoSpaceDE w:val="0"/>
        <w:autoSpaceDN w:val="0"/>
        <w:adjustRightInd w:val="0"/>
        <w:spacing w:line="560" w:lineRule="exact"/>
        <w:ind w:firstLineChars="200" w:firstLine="640"/>
        <w:rPr>
          <w:rFonts w:ascii="仿宋_GB2312" w:eastAsia="仿宋_GB2312"/>
          <w:sz w:val="32"/>
          <w:szCs w:val="32"/>
        </w:rPr>
      </w:pPr>
      <w:r>
        <w:rPr>
          <w:rFonts w:ascii="仿宋_GB2312" w:eastAsia="仿宋_GB2312" w:hint="eastAsia"/>
          <w:sz w:val="32"/>
          <w:szCs w:val="32"/>
        </w:rPr>
        <w:t>本条第一款规定事项发生重大变化的，上市公司应当及时披露。</w:t>
      </w:r>
    </w:p>
    <w:p w14:paraId="5A5E0BC4" w14:textId="77777777" w:rsidR="000C29B8" w:rsidRDefault="00000000">
      <w:pPr>
        <w:numPr>
          <w:ilvl w:val="2"/>
          <w:numId w:val="34"/>
        </w:numPr>
        <w:tabs>
          <w:tab w:val="clear" w:pos="1107"/>
          <w:tab w:val="left" w:pos="0"/>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上市公司开展与主营业务行业不同的新业务，或者</w:t>
      </w:r>
      <w:r>
        <w:rPr>
          <w:rFonts w:ascii="仿宋_GB2312" w:eastAsia="仿宋_GB2312" w:hAnsi="宋体" w:cs="宋体" w:hint="eastAsia"/>
          <w:kern w:val="0"/>
          <w:sz w:val="32"/>
          <w:szCs w:val="32"/>
        </w:rPr>
        <w:t>进行可能导致公司业务发生重大变化的收购或资产处置等交易</w:t>
      </w:r>
      <w:r>
        <w:rPr>
          <w:rFonts w:ascii="仿宋_GB2312" w:eastAsia="仿宋_GB2312" w:hAnsi="宋体" w:hint="eastAsia"/>
          <w:sz w:val="32"/>
          <w:szCs w:val="32"/>
        </w:rPr>
        <w:t>，应当及时披露下列信息：</w:t>
      </w:r>
    </w:p>
    <w:p w14:paraId="64F6465A" w14:textId="77777777" w:rsidR="000C29B8" w:rsidRDefault="00000000">
      <w:pPr>
        <w:pStyle w:val="afa"/>
        <w:numPr>
          <w:ilvl w:val="0"/>
          <w:numId w:val="35"/>
        </w:numPr>
        <w:tabs>
          <w:tab w:val="left" w:pos="1418"/>
        </w:tabs>
        <w:spacing w:line="560" w:lineRule="exact"/>
        <w:ind w:left="0" w:firstLine="640"/>
        <w:rPr>
          <w:rFonts w:ascii="仿宋_GB2312" w:hAnsi="宋体"/>
          <w:sz w:val="32"/>
          <w:szCs w:val="32"/>
        </w:rPr>
      </w:pPr>
      <w:r>
        <w:rPr>
          <w:rFonts w:ascii="仿宋_GB2312" w:hAnsi="宋体" w:hint="eastAsia"/>
          <w:sz w:val="32"/>
          <w:szCs w:val="32"/>
        </w:rPr>
        <w:t>原因及合理性，包括现有业务基本情况及重大风险，新业务与上市公司主营业务是否具备协同性等；</w:t>
      </w:r>
    </w:p>
    <w:p w14:paraId="56F5D6F7" w14:textId="77777777" w:rsidR="000C29B8" w:rsidRDefault="00000000">
      <w:pPr>
        <w:pStyle w:val="afa"/>
        <w:numPr>
          <w:ilvl w:val="0"/>
          <w:numId w:val="35"/>
        </w:numPr>
        <w:tabs>
          <w:tab w:val="left" w:pos="1418"/>
        </w:tabs>
        <w:spacing w:line="560" w:lineRule="exact"/>
        <w:ind w:left="0" w:firstLine="640"/>
        <w:rPr>
          <w:rFonts w:ascii="仿宋_GB2312" w:hAnsi="宋体"/>
          <w:sz w:val="32"/>
          <w:szCs w:val="32"/>
        </w:rPr>
      </w:pPr>
      <w:r>
        <w:rPr>
          <w:rFonts w:ascii="仿宋_GB2312" w:hAnsi="宋体" w:hint="eastAsia"/>
          <w:sz w:val="32"/>
          <w:szCs w:val="32"/>
        </w:rPr>
        <w:t>公司准备情况，包括在业务、资金、技术、人才等方面的储备，以及开展新业务对公司财务状况、现有业务的影响；</w:t>
      </w:r>
    </w:p>
    <w:p w14:paraId="3044ADA1" w14:textId="77777777" w:rsidR="000C29B8" w:rsidRDefault="00000000">
      <w:pPr>
        <w:pStyle w:val="afa"/>
        <w:numPr>
          <w:ilvl w:val="0"/>
          <w:numId w:val="35"/>
        </w:numPr>
        <w:tabs>
          <w:tab w:val="left" w:pos="1418"/>
        </w:tabs>
        <w:spacing w:line="560" w:lineRule="exact"/>
        <w:ind w:left="0" w:firstLine="640"/>
        <w:rPr>
          <w:rFonts w:ascii="仿宋_GB2312" w:hAnsi="宋体"/>
          <w:sz w:val="32"/>
          <w:szCs w:val="32"/>
        </w:rPr>
      </w:pPr>
      <w:r>
        <w:rPr>
          <w:rFonts w:ascii="仿宋_GB2312" w:hAnsi="宋体" w:hint="eastAsia"/>
          <w:sz w:val="32"/>
          <w:szCs w:val="32"/>
        </w:rPr>
        <w:t>新业务的行业情况，包括所依赖的技术水平、</w:t>
      </w:r>
      <w:r>
        <w:rPr>
          <w:rFonts w:ascii="仿宋_GB2312" w:hAnsi="宋体" w:cs="宋体" w:hint="eastAsia"/>
          <w:sz w:val="32"/>
          <w:szCs w:val="32"/>
        </w:rPr>
        <w:t>研发进展、商业化情况、</w:t>
      </w:r>
      <w:r>
        <w:rPr>
          <w:rFonts w:ascii="仿宋_GB2312" w:hAnsi="宋体" w:hint="eastAsia"/>
          <w:sz w:val="32"/>
          <w:szCs w:val="32"/>
        </w:rPr>
        <w:t>市场成熟度、政策环境及市场竞争等；</w:t>
      </w:r>
    </w:p>
    <w:p w14:paraId="55C5C28B" w14:textId="77777777" w:rsidR="000C29B8" w:rsidRDefault="00000000">
      <w:pPr>
        <w:pStyle w:val="afa"/>
        <w:numPr>
          <w:ilvl w:val="0"/>
          <w:numId w:val="35"/>
        </w:numPr>
        <w:tabs>
          <w:tab w:val="left" w:pos="1418"/>
        </w:tabs>
        <w:spacing w:line="560" w:lineRule="exact"/>
        <w:ind w:left="0" w:firstLine="640"/>
        <w:rPr>
          <w:rFonts w:ascii="仿宋_GB2312" w:hAnsi="宋体"/>
          <w:sz w:val="32"/>
          <w:szCs w:val="32"/>
        </w:rPr>
      </w:pPr>
      <w:r>
        <w:rPr>
          <w:rFonts w:ascii="仿宋_GB2312" w:hAnsi="宋体" w:hint="eastAsia"/>
          <w:sz w:val="32"/>
          <w:szCs w:val="32"/>
        </w:rPr>
        <w:t>新业务的管理情况，包括开展新业务后，公司实际控制人对公司的控制情况是否发生变化，公司能否控制新</w:t>
      </w:r>
      <w:r>
        <w:rPr>
          <w:rFonts w:ascii="仿宋_GB2312" w:hAnsi="宋体" w:hint="eastAsia"/>
          <w:sz w:val="32"/>
          <w:szCs w:val="32"/>
        </w:rPr>
        <w:lastRenderedPageBreak/>
        <w:t>业务；</w:t>
      </w:r>
    </w:p>
    <w:p w14:paraId="1EC52C29" w14:textId="77777777" w:rsidR="000C29B8" w:rsidRDefault="00000000">
      <w:pPr>
        <w:pStyle w:val="afa"/>
        <w:numPr>
          <w:ilvl w:val="0"/>
          <w:numId w:val="35"/>
        </w:numPr>
        <w:tabs>
          <w:tab w:val="left" w:pos="1418"/>
        </w:tabs>
        <w:spacing w:line="560" w:lineRule="exact"/>
        <w:ind w:left="0" w:firstLine="640"/>
        <w:rPr>
          <w:rFonts w:ascii="仿宋_GB2312" w:hAnsi="宋体"/>
          <w:sz w:val="32"/>
          <w:szCs w:val="32"/>
        </w:rPr>
      </w:pPr>
      <w:r>
        <w:rPr>
          <w:rFonts w:ascii="仿宋_GB2312" w:hAnsi="宋体" w:cs="宋体" w:hint="eastAsia"/>
          <w:sz w:val="32"/>
          <w:szCs w:val="32"/>
        </w:rPr>
        <w:t>新业务审批情况，包括已经取得或者尚待有关部门审批的说明（如适用）；</w:t>
      </w:r>
    </w:p>
    <w:p w14:paraId="0D3BD652" w14:textId="77777777" w:rsidR="000C29B8" w:rsidRDefault="00000000">
      <w:pPr>
        <w:pStyle w:val="afa"/>
        <w:numPr>
          <w:ilvl w:val="0"/>
          <w:numId w:val="35"/>
        </w:numPr>
        <w:tabs>
          <w:tab w:val="left" w:pos="1418"/>
        </w:tabs>
        <w:spacing w:line="560" w:lineRule="exact"/>
        <w:ind w:left="0" w:firstLine="640"/>
        <w:rPr>
          <w:rFonts w:ascii="仿宋_GB2312" w:hAnsi="宋体"/>
          <w:sz w:val="32"/>
          <w:szCs w:val="32"/>
        </w:rPr>
      </w:pPr>
      <w:r>
        <w:rPr>
          <w:rFonts w:ascii="仿宋_GB2312" w:hAnsi="宋体"/>
          <w:sz w:val="32"/>
          <w:szCs w:val="32"/>
        </w:rPr>
        <w:t>新业务的风险提示</w:t>
      </w:r>
      <w:r>
        <w:rPr>
          <w:rFonts w:ascii="仿宋_GB2312" w:hAnsi="宋体" w:hint="eastAsia"/>
          <w:sz w:val="32"/>
          <w:szCs w:val="32"/>
        </w:rPr>
        <w:t>，包括上市公司经营风险、财务风险、新业务风险等；</w:t>
      </w:r>
    </w:p>
    <w:p w14:paraId="4B99CED2" w14:textId="77777777" w:rsidR="000C29B8" w:rsidRDefault="00000000">
      <w:pPr>
        <w:pStyle w:val="afa"/>
        <w:numPr>
          <w:ilvl w:val="0"/>
          <w:numId w:val="35"/>
        </w:numPr>
        <w:tabs>
          <w:tab w:val="left" w:pos="1418"/>
        </w:tabs>
        <w:spacing w:line="560" w:lineRule="exact"/>
        <w:ind w:left="0" w:firstLine="640"/>
        <w:rPr>
          <w:rFonts w:ascii="仿宋_GB2312" w:hAnsi="宋体"/>
          <w:sz w:val="32"/>
          <w:szCs w:val="32"/>
        </w:rPr>
      </w:pPr>
      <w:r>
        <w:rPr>
          <w:rFonts w:ascii="仿宋_GB2312" w:hAnsi="宋体" w:hint="eastAsia"/>
          <w:sz w:val="32"/>
          <w:szCs w:val="32"/>
        </w:rPr>
        <w:t>监事会对公司开展新业务的意见；</w:t>
      </w:r>
    </w:p>
    <w:p w14:paraId="66A02F9E" w14:textId="77777777" w:rsidR="000C29B8" w:rsidRDefault="00000000">
      <w:pPr>
        <w:pStyle w:val="afa"/>
        <w:numPr>
          <w:ilvl w:val="0"/>
          <w:numId w:val="35"/>
        </w:numPr>
        <w:tabs>
          <w:tab w:val="left" w:pos="1418"/>
        </w:tabs>
        <w:spacing w:line="560" w:lineRule="exact"/>
        <w:ind w:left="0" w:firstLine="640"/>
        <w:rPr>
          <w:rFonts w:ascii="仿宋_GB2312" w:hAnsi="宋体"/>
          <w:sz w:val="32"/>
          <w:szCs w:val="32"/>
        </w:rPr>
      </w:pPr>
      <w:r>
        <w:rPr>
          <w:rFonts w:ascii="仿宋_GB2312" w:hAnsi="宋体" w:hint="eastAsia"/>
          <w:sz w:val="32"/>
          <w:szCs w:val="32"/>
        </w:rPr>
        <w:t>本所或公司认为应当披露的其他重要内容。</w:t>
      </w:r>
    </w:p>
    <w:p w14:paraId="2A4FBEBB" w14:textId="77777777" w:rsidR="000C29B8" w:rsidRDefault="00000000">
      <w:pPr>
        <w:numPr>
          <w:ilvl w:val="2"/>
          <w:numId w:val="34"/>
        </w:numPr>
        <w:tabs>
          <w:tab w:val="clear" w:pos="1107"/>
          <w:tab w:val="left" w:pos="0"/>
          <w:tab w:val="left" w:pos="1418"/>
        </w:tabs>
        <w:autoSpaceDE w:val="0"/>
        <w:autoSpaceDN w:val="0"/>
        <w:adjustRightInd w:val="0"/>
        <w:snapToGrid w:val="0"/>
        <w:spacing w:line="560" w:lineRule="exact"/>
        <w:ind w:left="0"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上市公司采用具体指标披露行业信息的，应当对其含义</w:t>
      </w:r>
      <w:proofErr w:type="gramStart"/>
      <w:r>
        <w:rPr>
          <w:rFonts w:ascii="仿宋_GB2312" w:eastAsia="仿宋_GB2312" w:hAnsi="宋体" w:cs="宋体" w:hint="eastAsia"/>
          <w:kern w:val="0"/>
          <w:sz w:val="32"/>
          <w:szCs w:val="32"/>
        </w:rPr>
        <w:t>作出</w:t>
      </w:r>
      <w:proofErr w:type="gramEnd"/>
      <w:r>
        <w:rPr>
          <w:rFonts w:ascii="仿宋_GB2312" w:eastAsia="仿宋_GB2312" w:hAnsi="宋体" w:cs="宋体" w:hint="eastAsia"/>
          <w:kern w:val="0"/>
          <w:sz w:val="32"/>
          <w:szCs w:val="32"/>
        </w:rPr>
        <w:t>详细解释，说明计算依据和假定条件，保证指标的一致性。相关指标的计算依据、假定条件等发生变化的，应当予以说明。</w:t>
      </w:r>
    </w:p>
    <w:p w14:paraId="5054C8DA" w14:textId="77777777" w:rsidR="000C29B8" w:rsidRDefault="00000000">
      <w:pPr>
        <w:pStyle w:val="afa"/>
        <w:spacing w:line="560" w:lineRule="exact"/>
        <w:ind w:firstLine="640"/>
        <w:rPr>
          <w:sz w:val="32"/>
          <w:szCs w:val="32"/>
        </w:rPr>
      </w:pPr>
      <w:r>
        <w:rPr>
          <w:rFonts w:hint="eastAsia"/>
          <w:sz w:val="32"/>
          <w:szCs w:val="32"/>
        </w:rPr>
        <w:t>引用相关数据、资料，应当保证充分可靠、客观权威，并注明来源。</w:t>
      </w:r>
    </w:p>
    <w:p w14:paraId="5FAA2085" w14:textId="77777777" w:rsidR="000C29B8" w:rsidRDefault="00000000">
      <w:pPr>
        <w:pStyle w:val="23"/>
        <w:numPr>
          <w:ilvl w:val="1"/>
          <w:numId w:val="1"/>
        </w:numPr>
        <w:ind w:left="0" w:firstLine="643"/>
      </w:pPr>
      <w:bookmarkStart w:id="595" w:name="_Toc17548"/>
      <w:r>
        <w:rPr>
          <w:rFonts w:hint="eastAsia"/>
        </w:rPr>
        <w:t>经营风险</w:t>
      </w:r>
      <w:bookmarkEnd w:id="595"/>
    </w:p>
    <w:p w14:paraId="1CAE798B" w14:textId="77777777" w:rsidR="000C29B8" w:rsidRDefault="00000000">
      <w:pPr>
        <w:numPr>
          <w:ilvl w:val="2"/>
          <w:numId w:val="36"/>
        </w:numPr>
        <w:tabs>
          <w:tab w:val="left" w:pos="1418"/>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上市公司尚未盈利的，应当在年度报告显著位置披露公司核心竞争力和经营活动面临的重大风险。</w:t>
      </w:r>
    </w:p>
    <w:p w14:paraId="6C797A32" w14:textId="77777777" w:rsidR="000C29B8" w:rsidRDefault="00000000">
      <w:pPr>
        <w:tabs>
          <w:tab w:val="left" w:pos="1418"/>
        </w:tabs>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上市公司应当结合行业特点，充分披露尚未盈利的原因，以及对公司现金流、业务拓展、人才吸引、团队稳定性、研发投入、战略性投入、生产经营可持续性等方面的影响。</w:t>
      </w:r>
    </w:p>
    <w:p w14:paraId="0B51D2EB" w14:textId="77777777" w:rsidR="000C29B8" w:rsidRDefault="00000000">
      <w:pPr>
        <w:numPr>
          <w:ilvl w:val="2"/>
          <w:numId w:val="36"/>
        </w:numPr>
        <w:tabs>
          <w:tab w:val="clear" w:pos="1107"/>
          <w:tab w:val="left" w:pos="0"/>
          <w:tab w:val="left" w:pos="1418"/>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上市公司年度净利润或营业收入与上年同期相比下降50%以上，或者净利润为负值的，应当在年度报告中披露下列信息：</w:t>
      </w:r>
    </w:p>
    <w:p w14:paraId="5D15337F" w14:textId="77777777" w:rsidR="000C29B8" w:rsidRDefault="00000000">
      <w:pPr>
        <w:pStyle w:val="afa"/>
        <w:numPr>
          <w:ilvl w:val="3"/>
          <w:numId w:val="1"/>
        </w:numPr>
        <w:tabs>
          <w:tab w:val="clear" w:pos="1980"/>
          <w:tab w:val="left" w:pos="0"/>
          <w:tab w:val="left" w:pos="1276"/>
          <w:tab w:val="left" w:pos="1418"/>
        </w:tabs>
        <w:autoSpaceDE w:val="0"/>
        <w:autoSpaceDN w:val="0"/>
        <w:adjustRightInd w:val="0"/>
        <w:snapToGrid w:val="0"/>
        <w:spacing w:line="560" w:lineRule="exact"/>
        <w:ind w:left="0" w:firstLine="640"/>
        <w:rPr>
          <w:rFonts w:ascii="仿宋_GB2312"/>
          <w:sz w:val="32"/>
          <w:szCs w:val="32"/>
        </w:rPr>
      </w:pPr>
      <w:r>
        <w:rPr>
          <w:rFonts w:ascii="仿宋_GB2312" w:hAnsi="宋体" w:cs="宋体" w:hint="eastAsia"/>
          <w:sz w:val="32"/>
          <w:szCs w:val="32"/>
        </w:rPr>
        <w:t>业绩大幅下滑或者亏损的具体原因；</w:t>
      </w:r>
    </w:p>
    <w:p w14:paraId="11657CD6" w14:textId="77777777" w:rsidR="000C29B8" w:rsidRDefault="00000000">
      <w:pPr>
        <w:pStyle w:val="afa"/>
        <w:numPr>
          <w:ilvl w:val="3"/>
          <w:numId w:val="1"/>
        </w:numPr>
        <w:tabs>
          <w:tab w:val="clear" w:pos="1980"/>
          <w:tab w:val="left" w:pos="0"/>
          <w:tab w:val="left" w:pos="1276"/>
          <w:tab w:val="left" w:pos="1418"/>
        </w:tabs>
        <w:autoSpaceDE w:val="0"/>
        <w:autoSpaceDN w:val="0"/>
        <w:adjustRightInd w:val="0"/>
        <w:snapToGrid w:val="0"/>
        <w:spacing w:line="560" w:lineRule="exact"/>
        <w:ind w:left="0" w:firstLine="640"/>
        <w:rPr>
          <w:rFonts w:ascii="仿宋_GB2312"/>
          <w:sz w:val="32"/>
          <w:szCs w:val="32"/>
        </w:rPr>
      </w:pPr>
      <w:r>
        <w:rPr>
          <w:rFonts w:ascii="仿宋_GB2312" w:hint="eastAsia"/>
          <w:sz w:val="32"/>
          <w:szCs w:val="32"/>
        </w:rPr>
        <w:t>主营业务、核心竞争力、主要财务指标是否发生</w:t>
      </w:r>
      <w:r>
        <w:rPr>
          <w:rFonts w:ascii="仿宋_GB2312" w:hint="eastAsia"/>
          <w:sz w:val="32"/>
          <w:szCs w:val="32"/>
        </w:rPr>
        <w:lastRenderedPageBreak/>
        <w:t>重大不利变化，是否与行业趋势一致；</w:t>
      </w:r>
    </w:p>
    <w:p w14:paraId="7D72CE38" w14:textId="77777777" w:rsidR="000C29B8" w:rsidRDefault="00000000">
      <w:pPr>
        <w:pStyle w:val="afa"/>
        <w:numPr>
          <w:ilvl w:val="3"/>
          <w:numId w:val="1"/>
        </w:numPr>
        <w:tabs>
          <w:tab w:val="clear" w:pos="1980"/>
          <w:tab w:val="left" w:pos="0"/>
          <w:tab w:val="left" w:pos="1276"/>
          <w:tab w:val="left" w:pos="1418"/>
        </w:tabs>
        <w:autoSpaceDE w:val="0"/>
        <w:autoSpaceDN w:val="0"/>
        <w:adjustRightInd w:val="0"/>
        <w:snapToGrid w:val="0"/>
        <w:spacing w:line="560" w:lineRule="exact"/>
        <w:ind w:left="0" w:firstLine="640"/>
        <w:rPr>
          <w:rFonts w:ascii="仿宋_GB2312"/>
          <w:sz w:val="32"/>
          <w:szCs w:val="32"/>
        </w:rPr>
      </w:pPr>
      <w:r>
        <w:rPr>
          <w:rFonts w:ascii="仿宋_GB2312" w:hint="eastAsia"/>
          <w:sz w:val="32"/>
          <w:szCs w:val="32"/>
        </w:rPr>
        <w:t>所处行业景气情况，是否存在产能过剩、持续衰退或者技术替代等情形；</w:t>
      </w:r>
    </w:p>
    <w:p w14:paraId="385E2830" w14:textId="77777777" w:rsidR="000C29B8" w:rsidRDefault="00000000">
      <w:pPr>
        <w:pStyle w:val="afa"/>
        <w:numPr>
          <w:ilvl w:val="3"/>
          <w:numId w:val="1"/>
        </w:numPr>
        <w:tabs>
          <w:tab w:val="clear" w:pos="1980"/>
          <w:tab w:val="left" w:pos="0"/>
          <w:tab w:val="left" w:pos="1276"/>
          <w:tab w:val="left" w:pos="1418"/>
        </w:tabs>
        <w:autoSpaceDE w:val="0"/>
        <w:autoSpaceDN w:val="0"/>
        <w:adjustRightInd w:val="0"/>
        <w:snapToGrid w:val="0"/>
        <w:spacing w:line="560" w:lineRule="exact"/>
        <w:ind w:left="0" w:firstLine="640"/>
        <w:rPr>
          <w:rFonts w:ascii="仿宋_GB2312"/>
          <w:sz w:val="32"/>
          <w:szCs w:val="32"/>
        </w:rPr>
      </w:pPr>
      <w:r>
        <w:rPr>
          <w:rFonts w:ascii="仿宋_GB2312" w:hint="eastAsia"/>
          <w:sz w:val="32"/>
          <w:szCs w:val="32"/>
        </w:rPr>
        <w:t>持续经营能力是否存在重大风险；</w:t>
      </w:r>
    </w:p>
    <w:p w14:paraId="0F389E5F" w14:textId="77777777" w:rsidR="000C29B8" w:rsidRDefault="00000000">
      <w:pPr>
        <w:pStyle w:val="afa"/>
        <w:numPr>
          <w:ilvl w:val="3"/>
          <w:numId w:val="1"/>
        </w:numPr>
        <w:tabs>
          <w:tab w:val="clear" w:pos="1980"/>
          <w:tab w:val="left" w:pos="0"/>
          <w:tab w:val="left" w:pos="1276"/>
          <w:tab w:val="left" w:pos="1418"/>
        </w:tabs>
        <w:autoSpaceDE w:val="0"/>
        <w:autoSpaceDN w:val="0"/>
        <w:adjustRightInd w:val="0"/>
        <w:snapToGrid w:val="0"/>
        <w:spacing w:line="560" w:lineRule="exact"/>
        <w:ind w:left="0" w:firstLine="640"/>
        <w:rPr>
          <w:rFonts w:ascii="仿宋_GB2312"/>
          <w:sz w:val="32"/>
          <w:szCs w:val="32"/>
        </w:rPr>
      </w:pPr>
      <w:r>
        <w:rPr>
          <w:rFonts w:ascii="仿宋_GB2312" w:hint="eastAsia"/>
          <w:sz w:val="32"/>
          <w:szCs w:val="32"/>
        </w:rPr>
        <w:t>对公司具有重大影响的其他信息。</w:t>
      </w:r>
    </w:p>
    <w:p w14:paraId="0A204954" w14:textId="77777777" w:rsidR="000C29B8" w:rsidRDefault="00000000">
      <w:pPr>
        <w:numPr>
          <w:ilvl w:val="2"/>
          <w:numId w:val="36"/>
        </w:numPr>
        <w:tabs>
          <w:tab w:val="clear" w:pos="1107"/>
          <w:tab w:val="left" w:pos="0"/>
          <w:tab w:val="left" w:pos="1418"/>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上市公司应当在年度报告中，遵循关联性和重要性原则，识别并披露下列可能对公司核心竞争力、经营活动和未来发展产生重大不利影响的风险因素：</w:t>
      </w:r>
    </w:p>
    <w:p w14:paraId="13A9D271" w14:textId="77777777" w:rsidR="000C29B8" w:rsidRDefault="00000000">
      <w:pPr>
        <w:pStyle w:val="afa"/>
        <w:numPr>
          <w:ilvl w:val="0"/>
          <w:numId w:val="37"/>
        </w:numPr>
        <w:tabs>
          <w:tab w:val="left" w:pos="1418"/>
        </w:tabs>
        <w:autoSpaceDE w:val="0"/>
        <w:autoSpaceDN w:val="0"/>
        <w:adjustRightInd w:val="0"/>
        <w:snapToGrid w:val="0"/>
        <w:spacing w:line="560" w:lineRule="exact"/>
        <w:ind w:left="0" w:firstLine="640"/>
        <w:rPr>
          <w:rFonts w:ascii="仿宋_GB2312"/>
          <w:sz w:val="32"/>
          <w:szCs w:val="32"/>
        </w:rPr>
      </w:pPr>
      <w:r>
        <w:rPr>
          <w:rFonts w:ascii="仿宋_GB2312" w:hint="eastAsia"/>
          <w:sz w:val="32"/>
          <w:szCs w:val="32"/>
        </w:rPr>
        <w:t>核心竞争力风险，包括技术更迭、产品更新换代或竞争加剧导致市场占有率和用户规模下降，研发投入超出预期或进程未达预期，关键设备被淘汰等；</w:t>
      </w:r>
    </w:p>
    <w:p w14:paraId="74FAF1FE" w14:textId="77777777" w:rsidR="000C29B8" w:rsidRDefault="00000000">
      <w:pPr>
        <w:pStyle w:val="afa"/>
        <w:numPr>
          <w:ilvl w:val="0"/>
          <w:numId w:val="37"/>
        </w:numPr>
        <w:tabs>
          <w:tab w:val="left" w:pos="1418"/>
        </w:tabs>
        <w:autoSpaceDE w:val="0"/>
        <w:autoSpaceDN w:val="0"/>
        <w:adjustRightInd w:val="0"/>
        <w:snapToGrid w:val="0"/>
        <w:spacing w:line="560" w:lineRule="exact"/>
        <w:ind w:left="0" w:firstLine="640"/>
        <w:rPr>
          <w:rFonts w:ascii="仿宋_GB2312"/>
          <w:sz w:val="32"/>
          <w:szCs w:val="32"/>
        </w:rPr>
      </w:pPr>
      <w:r>
        <w:rPr>
          <w:rFonts w:ascii="仿宋_GB2312" w:hint="eastAsia"/>
          <w:sz w:val="32"/>
          <w:szCs w:val="32"/>
        </w:rPr>
        <w:t>经营风险，包括单一客户依赖、原材料价格上涨、产品或服务价格下降等；</w:t>
      </w:r>
    </w:p>
    <w:p w14:paraId="5A229F46" w14:textId="77777777" w:rsidR="000C29B8" w:rsidRDefault="00000000">
      <w:pPr>
        <w:pStyle w:val="afa"/>
        <w:numPr>
          <w:ilvl w:val="0"/>
          <w:numId w:val="37"/>
        </w:numPr>
        <w:tabs>
          <w:tab w:val="left" w:pos="1418"/>
        </w:tabs>
        <w:autoSpaceDE w:val="0"/>
        <w:autoSpaceDN w:val="0"/>
        <w:adjustRightInd w:val="0"/>
        <w:snapToGrid w:val="0"/>
        <w:spacing w:line="560" w:lineRule="exact"/>
        <w:ind w:left="0" w:firstLine="640"/>
        <w:rPr>
          <w:rFonts w:ascii="仿宋_GB2312"/>
          <w:sz w:val="32"/>
          <w:szCs w:val="32"/>
        </w:rPr>
      </w:pPr>
      <w:r>
        <w:rPr>
          <w:rFonts w:ascii="仿宋_GB2312" w:hint="eastAsia"/>
          <w:sz w:val="32"/>
          <w:szCs w:val="32"/>
        </w:rPr>
        <w:t>行业风险，包括行业出现周期性衰退、产能过剩、市场容量下滑或增长停滞、行业上下游供求关系发生重大不利变化等；</w:t>
      </w:r>
    </w:p>
    <w:p w14:paraId="7D451FF6" w14:textId="77777777" w:rsidR="000C29B8" w:rsidRDefault="00000000">
      <w:pPr>
        <w:pStyle w:val="afa"/>
        <w:numPr>
          <w:ilvl w:val="0"/>
          <w:numId w:val="37"/>
        </w:numPr>
        <w:tabs>
          <w:tab w:val="left" w:pos="1418"/>
        </w:tabs>
        <w:autoSpaceDE w:val="0"/>
        <w:autoSpaceDN w:val="0"/>
        <w:adjustRightInd w:val="0"/>
        <w:snapToGrid w:val="0"/>
        <w:spacing w:line="560" w:lineRule="exact"/>
        <w:ind w:left="0" w:firstLine="640"/>
        <w:rPr>
          <w:rFonts w:ascii="仿宋_GB2312"/>
          <w:sz w:val="32"/>
          <w:szCs w:val="32"/>
        </w:rPr>
      </w:pPr>
      <w:r>
        <w:rPr>
          <w:rFonts w:ascii="仿宋_GB2312" w:hint="eastAsia"/>
          <w:sz w:val="32"/>
          <w:szCs w:val="32"/>
        </w:rPr>
        <w:t>宏观环境风险，包括相关法律、税收、外汇、贸易等政策发生重大不利变化；</w:t>
      </w:r>
    </w:p>
    <w:p w14:paraId="5FE810E8" w14:textId="77777777" w:rsidR="000C29B8" w:rsidRDefault="00000000">
      <w:pPr>
        <w:pStyle w:val="afa"/>
        <w:numPr>
          <w:ilvl w:val="0"/>
          <w:numId w:val="37"/>
        </w:numPr>
        <w:tabs>
          <w:tab w:val="left" w:pos="1418"/>
        </w:tabs>
        <w:autoSpaceDE w:val="0"/>
        <w:autoSpaceDN w:val="0"/>
        <w:adjustRightInd w:val="0"/>
        <w:snapToGrid w:val="0"/>
        <w:spacing w:line="560" w:lineRule="exact"/>
        <w:ind w:left="0" w:firstLine="640"/>
        <w:rPr>
          <w:rFonts w:ascii="仿宋_GB2312"/>
          <w:sz w:val="32"/>
          <w:szCs w:val="32"/>
        </w:rPr>
      </w:pPr>
      <w:r>
        <w:rPr>
          <w:rFonts w:ascii="仿宋_GB2312" w:hint="eastAsia"/>
          <w:sz w:val="32"/>
          <w:szCs w:val="32"/>
        </w:rPr>
        <w:t>其他重大风险。</w:t>
      </w:r>
    </w:p>
    <w:p w14:paraId="64DD8DE3" w14:textId="77777777" w:rsidR="000C29B8" w:rsidRDefault="00000000">
      <w:pPr>
        <w:numPr>
          <w:ilvl w:val="2"/>
          <w:numId w:val="36"/>
        </w:numPr>
        <w:tabs>
          <w:tab w:val="left" w:pos="1418"/>
        </w:tabs>
        <w:autoSpaceDE w:val="0"/>
        <w:autoSpaceDN w:val="0"/>
        <w:adjustRightInd w:val="0"/>
        <w:snapToGrid w:val="0"/>
        <w:spacing w:line="560" w:lineRule="exact"/>
        <w:ind w:left="0" w:firstLineChars="200" w:firstLine="640"/>
        <w:rPr>
          <w:rFonts w:ascii="仿宋_GB2312" w:eastAsia="仿宋_GB2312" w:hAnsi="仿宋"/>
          <w:sz w:val="32"/>
          <w:szCs w:val="32"/>
        </w:rPr>
      </w:pPr>
      <w:r>
        <w:rPr>
          <w:rFonts w:ascii="仿宋_GB2312" w:eastAsia="仿宋_GB2312" w:hAnsi="仿宋" w:hint="eastAsia"/>
          <w:sz w:val="32"/>
          <w:szCs w:val="32"/>
        </w:rPr>
        <w:t>上市公司发生下列重大风险事项的，应当及时披露其对公司核心竞争力和持续经营能力的具体影响：</w:t>
      </w:r>
    </w:p>
    <w:p w14:paraId="2299361A" w14:textId="77777777" w:rsidR="000C29B8" w:rsidRDefault="00000000">
      <w:pPr>
        <w:pStyle w:val="afa"/>
        <w:numPr>
          <w:ilvl w:val="0"/>
          <w:numId w:val="38"/>
        </w:numPr>
        <w:spacing w:line="560" w:lineRule="exact"/>
        <w:ind w:left="0" w:firstLineChars="0" w:firstLine="709"/>
        <w:rPr>
          <w:rFonts w:ascii="仿宋_GB2312" w:hAnsi="Times New Roman"/>
          <w:sz w:val="32"/>
          <w:szCs w:val="32"/>
        </w:rPr>
      </w:pPr>
      <w:r>
        <w:rPr>
          <w:rFonts w:ascii="仿宋_GB2312" w:hAnsi="Times New Roman" w:hint="eastAsia"/>
          <w:sz w:val="32"/>
          <w:szCs w:val="32"/>
        </w:rPr>
        <w:t>国家政策、市场环境、贸易条件等外部宏观环境发生重大不利变化；</w:t>
      </w:r>
    </w:p>
    <w:p w14:paraId="6ABD47DA" w14:textId="77777777" w:rsidR="000C29B8" w:rsidRDefault="00000000">
      <w:pPr>
        <w:pStyle w:val="afa"/>
        <w:numPr>
          <w:ilvl w:val="0"/>
          <w:numId w:val="38"/>
        </w:numPr>
        <w:spacing w:line="560" w:lineRule="exact"/>
        <w:ind w:left="0" w:firstLine="640"/>
        <w:rPr>
          <w:rFonts w:ascii="仿宋_GB2312" w:hAnsi="Times New Roman"/>
          <w:sz w:val="32"/>
          <w:szCs w:val="32"/>
        </w:rPr>
      </w:pPr>
      <w:r>
        <w:rPr>
          <w:rFonts w:ascii="仿宋_GB2312" w:hAnsi="Times New Roman" w:hint="eastAsia"/>
          <w:sz w:val="32"/>
          <w:szCs w:val="32"/>
        </w:rPr>
        <w:t>原材料采购价格、产品售价或市场容量出现重大</w:t>
      </w:r>
      <w:r>
        <w:rPr>
          <w:rFonts w:ascii="仿宋_GB2312" w:hAnsi="Times New Roman" w:hint="eastAsia"/>
          <w:sz w:val="32"/>
          <w:szCs w:val="32"/>
        </w:rPr>
        <w:lastRenderedPageBreak/>
        <w:t>不利变化，或者供销渠道、重要供应商或客户发生重大不利变化；</w:t>
      </w:r>
    </w:p>
    <w:p w14:paraId="7A7A702D" w14:textId="77777777" w:rsidR="000C29B8" w:rsidRDefault="00000000">
      <w:pPr>
        <w:pStyle w:val="afa"/>
        <w:numPr>
          <w:ilvl w:val="0"/>
          <w:numId w:val="38"/>
        </w:numPr>
        <w:spacing w:line="560" w:lineRule="exact"/>
        <w:ind w:left="0" w:firstLine="640"/>
        <w:rPr>
          <w:rFonts w:ascii="仿宋_GB2312" w:hAnsi="Times New Roman"/>
          <w:sz w:val="32"/>
          <w:szCs w:val="32"/>
        </w:rPr>
      </w:pPr>
      <w:r>
        <w:rPr>
          <w:rFonts w:ascii="仿宋_GB2312" w:hint="eastAsia"/>
          <w:sz w:val="32"/>
          <w:szCs w:val="32"/>
        </w:rPr>
        <w:t>核心技术人员离职；</w:t>
      </w:r>
    </w:p>
    <w:p w14:paraId="462E6376" w14:textId="77777777" w:rsidR="000C29B8" w:rsidRDefault="00000000">
      <w:pPr>
        <w:pStyle w:val="afa"/>
        <w:numPr>
          <w:ilvl w:val="0"/>
          <w:numId w:val="38"/>
        </w:numPr>
        <w:spacing w:line="560" w:lineRule="exact"/>
        <w:ind w:left="0" w:firstLine="640"/>
        <w:rPr>
          <w:rFonts w:ascii="仿宋_GB2312" w:hAnsi="Times New Roman"/>
          <w:sz w:val="32"/>
          <w:szCs w:val="32"/>
        </w:rPr>
      </w:pPr>
      <w:r>
        <w:rPr>
          <w:rFonts w:ascii="仿宋_GB2312" w:hint="eastAsia"/>
          <w:sz w:val="32"/>
          <w:szCs w:val="32"/>
        </w:rPr>
        <w:t>核心商标、专利、专有技术、</w:t>
      </w:r>
      <w:r>
        <w:rPr>
          <w:rFonts w:ascii="仿宋_GB2312" w:hAnsi="Times New Roman" w:hint="eastAsia"/>
          <w:sz w:val="32"/>
          <w:szCs w:val="32"/>
        </w:rPr>
        <w:t>特许经营权或者核心技术许可丧失、到期或者出现重大纠纷；</w:t>
      </w:r>
    </w:p>
    <w:p w14:paraId="7CAA7C1B" w14:textId="77777777" w:rsidR="000C29B8" w:rsidRDefault="00000000">
      <w:pPr>
        <w:pStyle w:val="afa"/>
        <w:numPr>
          <w:ilvl w:val="0"/>
          <w:numId w:val="38"/>
        </w:numPr>
        <w:spacing w:line="560" w:lineRule="exact"/>
        <w:ind w:left="0" w:firstLine="640"/>
        <w:rPr>
          <w:rFonts w:ascii="仿宋_GB2312" w:hAnsi="Times New Roman"/>
          <w:sz w:val="32"/>
          <w:szCs w:val="32"/>
        </w:rPr>
      </w:pPr>
      <w:r>
        <w:rPr>
          <w:rFonts w:ascii="仿宋_GB2312" w:hAnsi="Times New Roman" w:hint="eastAsia"/>
          <w:sz w:val="32"/>
          <w:szCs w:val="32"/>
        </w:rPr>
        <w:t>主要产品、业务或者所依赖的基础技术研发失败或者被禁止使用；</w:t>
      </w:r>
    </w:p>
    <w:p w14:paraId="33681AA2" w14:textId="77777777" w:rsidR="000C29B8" w:rsidRDefault="00000000">
      <w:pPr>
        <w:pStyle w:val="afa"/>
        <w:numPr>
          <w:ilvl w:val="0"/>
          <w:numId w:val="38"/>
        </w:numPr>
        <w:spacing w:line="560" w:lineRule="exact"/>
        <w:ind w:left="0" w:firstLine="640"/>
        <w:rPr>
          <w:rFonts w:ascii="仿宋_GB2312" w:hAnsi="Times New Roman"/>
          <w:sz w:val="32"/>
          <w:szCs w:val="32"/>
        </w:rPr>
      </w:pPr>
      <w:r>
        <w:rPr>
          <w:rFonts w:ascii="仿宋_GB2312" w:hAnsi="Times New Roman" w:hint="eastAsia"/>
          <w:sz w:val="32"/>
          <w:szCs w:val="32"/>
        </w:rPr>
        <w:t>主要产品或核心技术丧失竞争优势；</w:t>
      </w:r>
    </w:p>
    <w:p w14:paraId="3BD29863" w14:textId="77777777" w:rsidR="000C29B8" w:rsidRDefault="00000000">
      <w:pPr>
        <w:pStyle w:val="afa"/>
        <w:numPr>
          <w:ilvl w:val="0"/>
          <w:numId w:val="38"/>
        </w:numPr>
        <w:spacing w:line="560" w:lineRule="exact"/>
        <w:ind w:left="0" w:firstLine="640"/>
        <w:rPr>
          <w:rFonts w:ascii="仿宋_GB2312" w:hAnsi="仿宋"/>
          <w:sz w:val="32"/>
          <w:szCs w:val="32"/>
        </w:rPr>
      </w:pPr>
      <w:r>
        <w:rPr>
          <w:rFonts w:ascii="仿宋_GB2312" w:hAnsi="Times New Roman" w:hint="eastAsia"/>
          <w:sz w:val="32"/>
          <w:szCs w:val="32"/>
        </w:rPr>
        <w:t>其他重大风险事项。</w:t>
      </w:r>
    </w:p>
    <w:p w14:paraId="192CD826" w14:textId="77777777" w:rsidR="000C29B8" w:rsidRDefault="00000000">
      <w:pPr>
        <w:numPr>
          <w:ilvl w:val="2"/>
          <w:numId w:val="36"/>
        </w:numPr>
        <w:tabs>
          <w:tab w:val="left" w:pos="1418"/>
        </w:tabs>
        <w:autoSpaceDE w:val="0"/>
        <w:autoSpaceDN w:val="0"/>
        <w:adjustRightInd w:val="0"/>
        <w:snapToGrid w:val="0"/>
        <w:spacing w:line="560" w:lineRule="exact"/>
        <w:ind w:left="0" w:firstLineChars="200" w:firstLine="640"/>
        <w:rPr>
          <w:rFonts w:ascii="仿宋_GB2312" w:eastAsia="仿宋_GB2312" w:hAnsi="仿宋"/>
          <w:sz w:val="32"/>
          <w:szCs w:val="32"/>
        </w:rPr>
      </w:pPr>
      <w:r>
        <w:rPr>
          <w:rFonts w:ascii="仿宋_GB2312" w:eastAsia="仿宋_GB2312" w:hAnsi="仿宋" w:hint="eastAsia"/>
          <w:sz w:val="32"/>
          <w:szCs w:val="32"/>
        </w:rPr>
        <w:t>出现下列重大事故或负面事件的，应当及时披露具体情况及其影响：</w:t>
      </w:r>
    </w:p>
    <w:p w14:paraId="686CD689" w14:textId="77777777" w:rsidR="000C29B8" w:rsidRDefault="00000000">
      <w:pPr>
        <w:pStyle w:val="18"/>
        <w:spacing w:line="560" w:lineRule="exact"/>
        <w:ind w:firstLine="640"/>
        <w:rPr>
          <w:rFonts w:ascii="仿宋_GB2312" w:eastAsia="仿宋_GB2312" w:hAnsi="仿宋"/>
          <w:sz w:val="32"/>
          <w:szCs w:val="32"/>
        </w:rPr>
      </w:pPr>
      <w:r>
        <w:rPr>
          <w:rFonts w:ascii="仿宋_GB2312" w:eastAsia="仿宋_GB2312" w:hAnsi="仿宋" w:hint="eastAsia"/>
          <w:sz w:val="32"/>
          <w:szCs w:val="32"/>
        </w:rPr>
        <w:t>（一）发生重大环境、生产及产品安全事故；</w:t>
      </w:r>
    </w:p>
    <w:p w14:paraId="326F3078" w14:textId="77777777" w:rsidR="000C29B8" w:rsidRDefault="00000000">
      <w:pPr>
        <w:pStyle w:val="18"/>
        <w:spacing w:line="560" w:lineRule="exact"/>
        <w:ind w:firstLine="640"/>
        <w:rPr>
          <w:rFonts w:ascii="仿宋_GB2312" w:eastAsia="仿宋_GB2312" w:hAnsi="仿宋"/>
          <w:sz w:val="32"/>
          <w:szCs w:val="32"/>
        </w:rPr>
      </w:pPr>
      <w:r>
        <w:rPr>
          <w:rFonts w:ascii="仿宋_GB2312" w:eastAsia="仿宋_GB2312" w:hAnsi="仿宋" w:hint="eastAsia"/>
          <w:sz w:val="32"/>
          <w:szCs w:val="32"/>
        </w:rPr>
        <w:t>（二）收到政府部门限期治理、停产、搬迁、关闭的决定通知</w:t>
      </w:r>
      <w:r>
        <w:rPr>
          <w:rFonts w:ascii="仿宋_GB2312" w:eastAsia="仿宋_GB2312" w:hAnsi="仿宋"/>
          <w:sz w:val="32"/>
          <w:szCs w:val="32"/>
        </w:rPr>
        <w:t>；</w:t>
      </w:r>
    </w:p>
    <w:p w14:paraId="6EA3383E" w14:textId="77777777" w:rsidR="000C29B8" w:rsidRDefault="00000000">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（三）不当使用科学技术或违反科学伦理；</w:t>
      </w:r>
    </w:p>
    <w:p w14:paraId="06B19BC3"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仿宋" w:hint="eastAsia"/>
          <w:sz w:val="32"/>
          <w:szCs w:val="32"/>
        </w:rPr>
        <w:t>（四）其他</w:t>
      </w:r>
      <w:proofErr w:type="gramStart"/>
      <w:r>
        <w:rPr>
          <w:rFonts w:ascii="仿宋_GB2312" w:eastAsia="仿宋_GB2312" w:hAnsi="仿宋" w:hint="eastAsia"/>
          <w:sz w:val="32"/>
          <w:szCs w:val="32"/>
        </w:rPr>
        <w:t>不当履行</w:t>
      </w:r>
      <w:proofErr w:type="gramEnd"/>
      <w:r>
        <w:rPr>
          <w:rFonts w:ascii="仿宋_GB2312" w:eastAsia="仿宋_GB2312" w:hAnsi="仿宋" w:hint="eastAsia"/>
          <w:sz w:val="32"/>
          <w:szCs w:val="32"/>
        </w:rPr>
        <w:t>社会责任的重大事故或负面事件。</w:t>
      </w:r>
    </w:p>
    <w:p w14:paraId="66B1376B" w14:textId="77777777" w:rsidR="000C29B8" w:rsidRDefault="00000000">
      <w:pPr>
        <w:numPr>
          <w:ilvl w:val="2"/>
          <w:numId w:val="36"/>
        </w:numPr>
        <w:tabs>
          <w:tab w:val="left" w:pos="1418"/>
        </w:tabs>
        <w:autoSpaceDE w:val="0"/>
        <w:autoSpaceDN w:val="0"/>
        <w:adjustRightInd w:val="0"/>
        <w:snapToGrid w:val="0"/>
        <w:spacing w:line="560" w:lineRule="exact"/>
        <w:ind w:left="0" w:firstLineChars="200" w:firstLine="640"/>
        <w:rPr>
          <w:rFonts w:ascii="仿宋_GB2312" w:eastAsia="仿宋_GB2312"/>
          <w:sz w:val="32"/>
          <w:szCs w:val="32"/>
        </w:rPr>
      </w:pPr>
      <w:r>
        <w:rPr>
          <w:rFonts w:ascii="仿宋_GB2312" w:eastAsia="仿宋_GB2312" w:hAnsi="宋体" w:hint="eastAsia"/>
          <w:sz w:val="32"/>
          <w:szCs w:val="32"/>
        </w:rPr>
        <w:t>上市公司出现下列重大风险事项之一，</w:t>
      </w:r>
      <w:r>
        <w:rPr>
          <w:rFonts w:ascii="仿宋_GB2312" w:eastAsia="仿宋_GB2312" w:hint="eastAsia"/>
          <w:sz w:val="32"/>
          <w:szCs w:val="32"/>
        </w:rPr>
        <w:t>应当及时披露具体情况及其影响：</w:t>
      </w:r>
    </w:p>
    <w:p w14:paraId="37A7EAD3"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（一）可能</w:t>
      </w:r>
      <w:r>
        <w:rPr>
          <w:rFonts w:ascii="仿宋_GB2312" w:eastAsia="仿宋_GB2312" w:hAnsi="宋体" w:hint="eastAsia"/>
          <w:sz w:val="32"/>
          <w:szCs w:val="32"/>
        </w:rPr>
        <w:t>发生重大亏损或者遭受重大损失</w:t>
      </w:r>
      <w:r>
        <w:rPr>
          <w:rFonts w:ascii="仿宋_GB2312" w:eastAsia="仿宋_GB2312" w:hint="eastAsia"/>
          <w:sz w:val="32"/>
          <w:szCs w:val="32"/>
        </w:rPr>
        <w:t>；</w:t>
      </w:r>
    </w:p>
    <w:p w14:paraId="3FE86A28"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（二）</w:t>
      </w:r>
      <w:r>
        <w:rPr>
          <w:rFonts w:ascii="仿宋_GB2312" w:eastAsia="仿宋_GB2312" w:hAnsi="宋体" w:hint="eastAsia"/>
          <w:sz w:val="32"/>
          <w:szCs w:val="32"/>
        </w:rPr>
        <w:t>发生重大债务或者重大债权到期未获清偿</w:t>
      </w:r>
      <w:r>
        <w:rPr>
          <w:rFonts w:ascii="仿宋_GB2312" w:eastAsia="仿宋_GB2312" w:hint="eastAsia"/>
          <w:sz w:val="32"/>
          <w:szCs w:val="32"/>
        </w:rPr>
        <w:t>；</w:t>
      </w:r>
    </w:p>
    <w:p w14:paraId="523D61A3"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（三）可能依法承担重大违约责任或者大额赔偿责任；</w:t>
      </w:r>
    </w:p>
    <w:p w14:paraId="17D793A4"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（四）计提大额资产减值准备；</w:t>
      </w:r>
    </w:p>
    <w:p w14:paraId="4447C3DC"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（五）公司决定解散或者被有权机关依法吊销营业执照、责令关闭或者被撤销；</w:t>
      </w:r>
    </w:p>
    <w:p w14:paraId="10319B21"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（六）预计出现股东权益为负值；</w:t>
      </w:r>
    </w:p>
    <w:p w14:paraId="5A18EA0C"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（七）主要债务人出现资不抵债，公司对相应债权未提取足额坏账准备；</w:t>
      </w:r>
    </w:p>
    <w:p w14:paraId="08D7BCE2"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（八）主要资产被查封、扣押、冻结或者被抵押、质押；</w:t>
      </w:r>
    </w:p>
    <w:p w14:paraId="5775DA81"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（九）主要银行账户被查封、冻结；</w:t>
      </w:r>
    </w:p>
    <w:p w14:paraId="5F4C6DBD"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（十）主要业务陷入停顿；</w:t>
      </w:r>
    </w:p>
    <w:p w14:paraId="121AD490"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（十一）董事会、股东大会会议无法正常召开并形成决议；</w:t>
      </w:r>
    </w:p>
    <w:p w14:paraId="2A59572E"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（十二）被控股股东及其关联方非经营性占用资金或违规对外担保；</w:t>
      </w:r>
    </w:p>
    <w:p w14:paraId="40724266"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（十三）控股股东、实际控制人或者上市公司因涉嫌违法违规被有权机关调查，或者受到重大行政、刑事处罚；</w:t>
      </w:r>
    </w:p>
    <w:p w14:paraId="7A6A0FDA"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（十四）实际控制人、公司法定代表人或者经理无法履行职责，董事、监事、高级管理人员、核心技术人员因涉嫌违法违纪被有权机关调查或者采取强制措施，或者受到重大行政、刑事处罚；</w:t>
      </w:r>
    </w:p>
    <w:p w14:paraId="51EF255D"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（十五）本所或者公司认定的其他重大风险情况。</w:t>
      </w:r>
    </w:p>
    <w:p w14:paraId="5E7954B3"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上述事项涉及具体金额的，比照适用第7.1.2条的规定。</w:t>
      </w:r>
    </w:p>
    <w:p w14:paraId="6FB330CA" w14:textId="77777777" w:rsidR="000C29B8" w:rsidRDefault="00000000">
      <w:pPr>
        <w:numPr>
          <w:ilvl w:val="2"/>
          <w:numId w:val="36"/>
        </w:numPr>
        <w:tabs>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上市公司申请或者被债权人申请破产重整、和解或破产清算的，应当及时披露下列进展事项：</w:t>
      </w:r>
    </w:p>
    <w:p w14:paraId="4863A673" w14:textId="77777777" w:rsidR="000C29B8" w:rsidRDefault="00000000">
      <w:pPr>
        <w:pStyle w:val="3"/>
        <w:autoSpaceDE/>
        <w:autoSpaceDN/>
        <w:adjustRightInd/>
        <w:snapToGrid w:val="0"/>
        <w:spacing w:line="560" w:lineRule="exact"/>
        <w:ind w:firstLineChars="200" w:firstLine="640"/>
        <w:rPr>
          <w:sz w:val="32"/>
          <w:szCs w:val="32"/>
        </w:rPr>
      </w:pPr>
      <w:r>
        <w:rPr>
          <w:rFonts w:hint="eastAsia"/>
          <w:sz w:val="32"/>
          <w:szCs w:val="32"/>
        </w:rPr>
        <w:t>（一）法院裁定受理重整、和解或破产清算申请；</w:t>
      </w:r>
    </w:p>
    <w:p w14:paraId="31F5675D" w14:textId="77777777" w:rsidR="000C29B8" w:rsidRDefault="00000000">
      <w:pPr>
        <w:pStyle w:val="3"/>
        <w:autoSpaceDE/>
        <w:autoSpaceDN/>
        <w:adjustRightInd/>
        <w:snapToGrid w:val="0"/>
        <w:spacing w:line="560" w:lineRule="exact"/>
        <w:ind w:firstLineChars="200" w:firstLine="640"/>
        <w:rPr>
          <w:sz w:val="32"/>
          <w:szCs w:val="32"/>
        </w:rPr>
      </w:pPr>
      <w:r>
        <w:rPr>
          <w:rFonts w:hint="eastAsia"/>
          <w:sz w:val="32"/>
          <w:szCs w:val="32"/>
        </w:rPr>
        <w:t>（二）重整、和解或破产清算程序的重大进展或法院审理裁定；</w:t>
      </w:r>
    </w:p>
    <w:p w14:paraId="2E8B2F9B" w14:textId="77777777" w:rsidR="000C29B8" w:rsidRDefault="00000000">
      <w:pPr>
        <w:pStyle w:val="3"/>
        <w:autoSpaceDE/>
        <w:autoSpaceDN/>
        <w:adjustRightInd/>
        <w:snapToGrid w:val="0"/>
        <w:spacing w:line="560" w:lineRule="exact"/>
        <w:ind w:firstLineChars="200" w:firstLine="640"/>
        <w:rPr>
          <w:kern w:val="0"/>
          <w:sz w:val="32"/>
          <w:szCs w:val="32"/>
        </w:rPr>
      </w:pPr>
      <w:r>
        <w:rPr>
          <w:rFonts w:hint="eastAsia"/>
          <w:kern w:val="0"/>
          <w:sz w:val="32"/>
          <w:szCs w:val="32"/>
        </w:rPr>
        <w:t>（三）法院裁定批准公司破产</w:t>
      </w:r>
      <w:r>
        <w:rPr>
          <w:kern w:val="0"/>
          <w:sz w:val="32"/>
          <w:szCs w:val="32"/>
        </w:rPr>
        <w:t>重整</w:t>
      </w:r>
      <w:r>
        <w:rPr>
          <w:rFonts w:hint="eastAsia"/>
          <w:kern w:val="0"/>
          <w:sz w:val="32"/>
          <w:szCs w:val="32"/>
        </w:rPr>
        <w:t>计划、和解协议或者</w:t>
      </w:r>
      <w:r>
        <w:rPr>
          <w:rFonts w:hint="eastAsia"/>
          <w:kern w:val="0"/>
          <w:sz w:val="32"/>
          <w:szCs w:val="32"/>
        </w:rPr>
        <w:lastRenderedPageBreak/>
        <w:t>清算；</w:t>
      </w:r>
    </w:p>
    <w:p w14:paraId="2CAE1877" w14:textId="77777777" w:rsidR="000C29B8" w:rsidRDefault="00000000">
      <w:pPr>
        <w:pStyle w:val="3"/>
        <w:autoSpaceDE/>
        <w:autoSpaceDN/>
        <w:adjustRightInd/>
        <w:snapToGrid w:val="0"/>
        <w:spacing w:line="560" w:lineRule="exact"/>
        <w:ind w:firstLineChars="200" w:firstLine="640"/>
        <w:rPr>
          <w:kern w:val="0"/>
          <w:sz w:val="32"/>
          <w:szCs w:val="32"/>
        </w:rPr>
      </w:pPr>
      <w:r>
        <w:rPr>
          <w:rFonts w:hint="eastAsia"/>
          <w:kern w:val="0"/>
          <w:sz w:val="32"/>
          <w:szCs w:val="32"/>
        </w:rPr>
        <w:t>（四）破产</w:t>
      </w:r>
      <w:r>
        <w:rPr>
          <w:kern w:val="0"/>
          <w:sz w:val="32"/>
          <w:szCs w:val="32"/>
        </w:rPr>
        <w:t>重整</w:t>
      </w:r>
      <w:r>
        <w:rPr>
          <w:rFonts w:hint="eastAsia"/>
          <w:kern w:val="0"/>
          <w:sz w:val="32"/>
          <w:szCs w:val="32"/>
        </w:rPr>
        <w:t>计划、和解协议的执行情况。</w:t>
      </w:r>
    </w:p>
    <w:p w14:paraId="2DED47D3" w14:textId="77777777" w:rsidR="000C29B8" w:rsidRDefault="00000000">
      <w:pPr>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进入破产程序的上市公司，除应当及时披露上述信息外，还应当及时披露定期报告和临时公告。</w:t>
      </w:r>
    </w:p>
    <w:p w14:paraId="02E94525" w14:textId="77777777" w:rsidR="000C29B8" w:rsidRDefault="00000000">
      <w:pPr>
        <w:numPr>
          <w:ilvl w:val="2"/>
          <w:numId w:val="36"/>
        </w:numPr>
        <w:tabs>
          <w:tab w:val="left" w:pos="1418"/>
        </w:tabs>
        <w:autoSpaceDE w:val="0"/>
        <w:autoSpaceDN w:val="0"/>
        <w:adjustRightInd w:val="0"/>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破产采取破产管理人管理或者监督运作模式的，破产管理人及其成员、董事、监事和高级管理人员应当按照《证券法》、最高人民法院、中国证监会和本所有关规定，及时、公平地向所有债权人和股东披露信息，并保证信息披露内容的真实、准确、完整。</w:t>
      </w:r>
    </w:p>
    <w:p w14:paraId="4A0E479A" w14:textId="77777777" w:rsidR="000C29B8" w:rsidRDefault="000C29B8">
      <w:pPr>
        <w:pStyle w:val="afa"/>
        <w:spacing w:line="560" w:lineRule="exact"/>
        <w:ind w:firstLine="640"/>
        <w:rPr>
          <w:sz w:val="32"/>
          <w:szCs w:val="32"/>
        </w:rPr>
      </w:pPr>
    </w:p>
    <w:p w14:paraId="20DDAA67" w14:textId="77777777" w:rsidR="000C29B8" w:rsidRDefault="00000000">
      <w:pPr>
        <w:pStyle w:val="6"/>
        <w:rPr>
          <w:b/>
        </w:rPr>
      </w:pPr>
      <w:bookmarkStart w:id="596" w:name="_Toc13864"/>
      <w:r>
        <w:rPr>
          <w:rFonts w:hint="eastAsia"/>
        </w:rPr>
        <w:t>应当披露的其他重大事项</w:t>
      </w:r>
      <w:bookmarkEnd w:id="596"/>
    </w:p>
    <w:p w14:paraId="72DEF886" w14:textId="77777777" w:rsidR="000C29B8" w:rsidRDefault="00000000">
      <w:pPr>
        <w:pStyle w:val="23"/>
        <w:numPr>
          <w:ilvl w:val="1"/>
          <w:numId w:val="1"/>
        </w:numPr>
        <w:ind w:left="0" w:firstLine="643"/>
      </w:pPr>
      <w:bookmarkStart w:id="597" w:name="_Toc15767"/>
      <w:r>
        <w:rPr>
          <w:rFonts w:hint="eastAsia"/>
        </w:rPr>
        <w:t>异常波动和传闻澄清</w:t>
      </w:r>
      <w:bookmarkEnd w:id="597"/>
    </w:p>
    <w:p w14:paraId="6EF114FA" w14:textId="77777777" w:rsidR="000C29B8" w:rsidRDefault="00000000">
      <w:pPr>
        <w:numPr>
          <w:ilvl w:val="2"/>
          <w:numId w:val="39"/>
        </w:numPr>
        <w:tabs>
          <w:tab w:val="clear" w:pos="709"/>
          <w:tab w:val="left" w:pos="0"/>
        </w:tabs>
        <w:snapToGrid w:val="0"/>
        <w:spacing w:line="560" w:lineRule="exact"/>
        <w:ind w:left="0" w:firstLineChars="200" w:firstLine="640"/>
        <w:rPr>
          <w:rFonts w:ascii="仿宋_GB2312" w:eastAsia="仿宋_GB2312" w:hAnsi="仿宋_GB2312" w:cs="仿宋_GB2312"/>
          <w:sz w:val="32"/>
          <w:szCs w:val="32"/>
        </w:rPr>
      </w:pPr>
      <w:r>
        <w:rPr>
          <w:rFonts w:ascii="仿宋_GB2312" w:eastAsia="仿宋_GB2312" w:hint="eastAsia"/>
          <w:sz w:val="32"/>
          <w:szCs w:val="32"/>
        </w:rPr>
        <w:t>上市公司股票交易出现本所业务规则规定或者本所认定的异常波动的，</w:t>
      </w:r>
      <w:r>
        <w:rPr>
          <w:rFonts w:ascii="仿宋_GB2312" w:eastAsia="仿宋_GB2312" w:hAnsi="仿宋_GB2312" w:cs="仿宋_GB2312" w:hint="eastAsia"/>
          <w:sz w:val="32"/>
          <w:szCs w:val="32"/>
        </w:rPr>
        <w:t>本所可以根据异常波动程度和监管需要，采取下列措施：</w:t>
      </w:r>
    </w:p>
    <w:p w14:paraId="31BEB508" w14:textId="77777777" w:rsidR="000C29B8"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（一）要求上市公司披露股票交易异常波动公告；</w:t>
      </w:r>
    </w:p>
    <w:p w14:paraId="7C33B145" w14:textId="77777777" w:rsidR="000C29B8"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（二）要求上市公司停牌核查并披露核查公告；</w:t>
      </w:r>
    </w:p>
    <w:p w14:paraId="66249B33" w14:textId="77777777" w:rsidR="000C29B8"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（三）向市场提示异常波动股票投资风险；</w:t>
      </w:r>
    </w:p>
    <w:p w14:paraId="2562EC8A"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（四）本所认为必要的其他措施。</w:t>
      </w:r>
    </w:p>
    <w:p w14:paraId="5F192B05" w14:textId="77777777" w:rsidR="000C29B8" w:rsidRDefault="00000000">
      <w:pPr>
        <w:numPr>
          <w:ilvl w:val="2"/>
          <w:numId w:val="39"/>
        </w:numPr>
        <w:tabs>
          <w:tab w:val="clear" w:pos="709"/>
          <w:tab w:val="left" w:pos="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上市公司股票交易出现本所业务规则规定的异常波动的，公司应当于次一交易日披露股票交易异常波动公告。</w:t>
      </w:r>
      <w:r>
        <w:rPr>
          <w:rFonts w:ascii="仿宋_GB2312" w:eastAsia="仿宋_GB2312" w:hAnsi="宋体" w:hint="eastAsia"/>
          <w:color w:val="000000"/>
          <w:sz w:val="32"/>
          <w:szCs w:val="32"/>
        </w:rPr>
        <w:t>本所可以根据需要安排公司在非交易日公告。</w:t>
      </w:r>
    </w:p>
    <w:p w14:paraId="63944431" w14:textId="77777777" w:rsidR="000C29B8" w:rsidRDefault="00000000">
      <w:pPr>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股票交易异常波动的计算从披露之日起重新起算。</w:t>
      </w:r>
    </w:p>
    <w:p w14:paraId="4A0902C9" w14:textId="77777777" w:rsidR="000C29B8" w:rsidRDefault="00000000">
      <w:pPr>
        <w:numPr>
          <w:ilvl w:val="2"/>
          <w:numId w:val="39"/>
        </w:numPr>
        <w:tabs>
          <w:tab w:val="clear" w:pos="709"/>
          <w:tab w:val="left" w:pos="0"/>
        </w:tabs>
        <w:snapToGrid w:val="0"/>
        <w:spacing w:line="560" w:lineRule="exact"/>
        <w:ind w:left="0" w:firstLineChars="200" w:firstLine="640"/>
        <w:rPr>
          <w:rFonts w:ascii="仿宋_GB2312" w:eastAsia="仿宋_GB2312" w:hAnsi="仿宋_GB2312" w:cs="仿宋_GB2312"/>
          <w:sz w:val="32"/>
          <w:szCs w:val="32"/>
        </w:rPr>
      </w:pPr>
      <w:r>
        <w:rPr>
          <w:rFonts w:ascii="仿宋_GB2312" w:eastAsia="仿宋_GB2312" w:hAnsi="黑体" w:hint="eastAsia"/>
          <w:sz w:val="32"/>
          <w:szCs w:val="32"/>
        </w:rPr>
        <w:t>上市公司股票交易出现本所业务规则规定的严</w:t>
      </w:r>
      <w:r>
        <w:rPr>
          <w:rFonts w:ascii="仿宋_GB2312" w:eastAsia="仿宋_GB2312" w:hAnsi="黑体" w:hint="eastAsia"/>
          <w:sz w:val="32"/>
          <w:szCs w:val="32"/>
        </w:rPr>
        <w:lastRenderedPageBreak/>
        <w:t>重异常波动的,</w:t>
      </w:r>
      <w:r>
        <w:rPr>
          <w:rFonts w:ascii="仿宋_GB2312" w:eastAsia="仿宋_GB2312" w:hAnsi="仿宋_GB2312" w:cs="仿宋_GB2312" w:hint="eastAsia"/>
          <w:sz w:val="32"/>
          <w:szCs w:val="32"/>
        </w:rPr>
        <w:t>应当按照第9.1.4条的规定于次一交易日披露核查公告；无法披露的，应当申请其股票自次一交易日起停牌核查，直至披露核查公告后复牌。</w:t>
      </w:r>
    </w:p>
    <w:p w14:paraId="56BCC3F1" w14:textId="77777777" w:rsidR="000C29B8" w:rsidRDefault="00000000">
      <w:pPr>
        <w:numPr>
          <w:ilvl w:val="2"/>
          <w:numId w:val="39"/>
        </w:numPr>
        <w:snapToGrid w:val="0"/>
        <w:spacing w:line="560" w:lineRule="exact"/>
        <w:ind w:left="0" w:firstLineChars="200" w:firstLine="640"/>
        <w:rPr>
          <w:rFonts w:ascii="仿宋_GB2312" w:eastAsia="仿宋_GB2312" w:hAnsi="仿宋_GB2312" w:cs="仿宋_GB2312"/>
          <w:sz w:val="32"/>
          <w:szCs w:val="32"/>
        </w:rPr>
      </w:pPr>
      <w:r>
        <w:rPr>
          <w:rFonts w:ascii="仿宋_GB2312" w:eastAsia="仿宋_GB2312" w:hAnsi="黑体" w:hint="eastAsia"/>
          <w:sz w:val="32"/>
          <w:szCs w:val="32"/>
        </w:rPr>
        <w:t>上市</w:t>
      </w:r>
      <w:r>
        <w:rPr>
          <w:rFonts w:ascii="仿宋_GB2312" w:eastAsia="仿宋_GB2312" w:hAnsi="仿宋_GB2312" w:cs="仿宋_GB2312" w:hint="eastAsia"/>
          <w:sz w:val="32"/>
          <w:szCs w:val="32"/>
        </w:rPr>
        <w:t>公司股票出现前条规定情形的，公司或相关信息披露义务人应当核查下列事项：</w:t>
      </w:r>
    </w:p>
    <w:p w14:paraId="22B5D61C" w14:textId="77777777" w:rsidR="000C29B8"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（一）是否存在导致股价严重异常波动的未披露事项；</w:t>
      </w:r>
    </w:p>
    <w:p w14:paraId="34E3B6AE"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仿宋_GB2312" w:cs="仿宋_GB2312" w:hint="eastAsia"/>
          <w:sz w:val="32"/>
          <w:szCs w:val="32"/>
        </w:rPr>
        <w:t>（二）</w:t>
      </w:r>
      <w:r>
        <w:rPr>
          <w:rFonts w:ascii="仿宋_GB2312" w:eastAsia="仿宋_GB2312" w:hAnsi="宋体" w:hint="eastAsia"/>
          <w:sz w:val="32"/>
          <w:szCs w:val="32"/>
        </w:rPr>
        <w:t>股价是否严重偏离同行业上市公司合理估值；</w:t>
      </w:r>
    </w:p>
    <w:p w14:paraId="1EE40821"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（三）是否存在重大风险事项；</w:t>
      </w:r>
    </w:p>
    <w:p w14:paraId="2D18A871"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（四）其他可能导致股价严重异常波动的事项。</w:t>
      </w:r>
    </w:p>
    <w:p w14:paraId="2602B159" w14:textId="77777777" w:rsidR="000C29B8"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上市公司应当及时披露核查结果公告，充分提示公司股价严重异常波动的交易风险；</w:t>
      </w:r>
      <w:r>
        <w:rPr>
          <w:rFonts w:ascii="仿宋_GB2312" w:eastAsia="仿宋_GB2312" w:hint="eastAsia"/>
          <w:sz w:val="32"/>
          <w:szCs w:val="32"/>
        </w:rPr>
        <w:t>存在未披露重大事项的，应当召开投资者说明会。</w:t>
      </w:r>
    </w:p>
    <w:p w14:paraId="505A62F2" w14:textId="77777777" w:rsidR="000C29B8"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上市公司股票应当自披露核查结果公告、投资者说明会公告（如有）之日起复牌。披露日为</w:t>
      </w:r>
      <w:proofErr w:type="gramStart"/>
      <w:r>
        <w:rPr>
          <w:rFonts w:ascii="仿宋_GB2312" w:eastAsia="仿宋_GB2312" w:hAnsi="仿宋_GB2312" w:cs="仿宋_GB2312" w:hint="eastAsia"/>
          <w:sz w:val="32"/>
          <w:szCs w:val="32"/>
        </w:rPr>
        <w:t>非交易</w:t>
      </w:r>
      <w:proofErr w:type="gramEnd"/>
      <w:r>
        <w:rPr>
          <w:rFonts w:ascii="仿宋_GB2312" w:eastAsia="仿宋_GB2312" w:hAnsi="仿宋_GB2312" w:cs="仿宋_GB2312" w:hint="eastAsia"/>
          <w:sz w:val="32"/>
          <w:szCs w:val="32"/>
        </w:rPr>
        <w:t>日的，自次一交易日起复牌。</w:t>
      </w:r>
    </w:p>
    <w:p w14:paraId="3692BFEC" w14:textId="77777777" w:rsidR="000C29B8" w:rsidRDefault="00000000">
      <w:pPr>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保荐机构和保荐代表人应当督促上市公司按照本节规定及时进行核查，履行相应信息披露义务。</w:t>
      </w:r>
    </w:p>
    <w:p w14:paraId="36D98AB1" w14:textId="77777777" w:rsidR="000C29B8" w:rsidRDefault="00000000">
      <w:pPr>
        <w:numPr>
          <w:ilvl w:val="2"/>
          <w:numId w:val="39"/>
        </w:numPr>
        <w:snapToGrid w:val="0"/>
        <w:spacing w:line="560" w:lineRule="exact"/>
        <w:ind w:left="0" w:firstLineChars="200" w:firstLine="640"/>
        <w:rPr>
          <w:rFonts w:ascii="仿宋_GB2312" w:eastAsia="仿宋_GB2312" w:hAnsi="仿宋_GB2312" w:cs="仿宋_GB2312"/>
          <w:sz w:val="32"/>
          <w:szCs w:val="32"/>
        </w:rPr>
      </w:pPr>
      <w:r>
        <w:rPr>
          <w:rFonts w:ascii="仿宋_GB2312" w:eastAsia="仿宋_GB2312" w:hint="eastAsia"/>
          <w:sz w:val="32"/>
          <w:szCs w:val="32"/>
        </w:rPr>
        <w:t>上市公司股票交易出现严重异常波动，经公司核查后无应披露未披露重大事项，也无法对异常波动原因</w:t>
      </w:r>
      <w:proofErr w:type="gramStart"/>
      <w:r>
        <w:rPr>
          <w:rFonts w:ascii="仿宋_GB2312" w:eastAsia="仿宋_GB2312" w:hint="eastAsia"/>
          <w:sz w:val="32"/>
          <w:szCs w:val="32"/>
        </w:rPr>
        <w:t>作出</w:t>
      </w:r>
      <w:proofErr w:type="gramEnd"/>
      <w:r>
        <w:rPr>
          <w:rFonts w:ascii="仿宋_GB2312" w:eastAsia="仿宋_GB2312" w:hint="eastAsia"/>
          <w:sz w:val="32"/>
          <w:szCs w:val="32"/>
        </w:rPr>
        <w:t>合理解释的，本所可以向市场公告，提示股票交易风险，并视情况实施特别停牌。</w:t>
      </w:r>
    </w:p>
    <w:p w14:paraId="52AA667E" w14:textId="77777777" w:rsidR="000C29B8" w:rsidRDefault="00000000">
      <w:pPr>
        <w:numPr>
          <w:ilvl w:val="2"/>
          <w:numId w:val="39"/>
        </w:numPr>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w:t>
      </w:r>
      <w:r>
        <w:rPr>
          <w:rFonts w:ascii="仿宋_GB2312" w:eastAsia="仿宋_GB2312" w:hAnsi="仿宋_GB2312" w:cs="仿宋_GB2312" w:hint="eastAsia"/>
          <w:sz w:val="32"/>
          <w:szCs w:val="32"/>
        </w:rPr>
        <w:t>和相关信息披露义务人</w:t>
      </w:r>
      <w:r>
        <w:rPr>
          <w:rFonts w:ascii="仿宋_GB2312" w:eastAsia="仿宋_GB2312" w:hint="eastAsia"/>
          <w:sz w:val="32"/>
          <w:szCs w:val="32"/>
        </w:rPr>
        <w:t>应当密切关注公共媒体关于公司的重大报道、市场传闻（以下统称传闻）。相关传闻</w:t>
      </w:r>
      <w:r>
        <w:rPr>
          <w:rFonts w:ascii="仿宋_GB2312" w:eastAsia="仿宋_GB2312" w:hAnsi="仿宋_GB2312" w:cs="仿宋_GB2312" w:hint="eastAsia"/>
          <w:sz w:val="32"/>
          <w:szCs w:val="32"/>
        </w:rPr>
        <w:t>可能对投资决策或者公司股票交易产生较大影响</w:t>
      </w:r>
      <w:r>
        <w:rPr>
          <w:rFonts w:ascii="仿宋_GB2312" w:eastAsia="仿宋_GB2312" w:hAnsi="仿宋_GB2312" w:cs="仿宋_GB2312" w:hint="eastAsia"/>
          <w:sz w:val="32"/>
          <w:szCs w:val="32"/>
        </w:rPr>
        <w:lastRenderedPageBreak/>
        <w:t>的，</w:t>
      </w:r>
      <w:r>
        <w:rPr>
          <w:rFonts w:ascii="仿宋_GB2312" w:eastAsia="仿宋_GB2312" w:hint="eastAsia"/>
          <w:sz w:val="32"/>
          <w:szCs w:val="32"/>
        </w:rPr>
        <w:t>公司应当及时核实，并视情况披露或者澄清。</w:t>
      </w:r>
    </w:p>
    <w:p w14:paraId="6E2AC078" w14:textId="77777777" w:rsidR="000C29B8" w:rsidRDefault="00000000">
      <w:pPr>
        <w:snapToGrid w:val="0"/>
        <w:spacing w:line="56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本所认为相关传闻可能对公司股票交易价格产生较大影响的，可以要求公司予以核实、澄清。</w:t>
      </w:r>
      <w:r>
        <w:rPr>
          <w:rFonts w:ascii="仿宋_GB2312" w:eastAsia="仿宋_GB2312" w:hAnsi="仿宋_GB2312" w:cs="仿宋_GB2312" w:hint="eastAsia"/>
          <w:sz w:val="32"/>
          <w:szCs w:val="32"/>
        </w:rPr>
        <w:t>公司应当在本所要求的期限内核实，及时披露传闻澄清公告。</w:t>
      </w:r>
    </w:p>
    <w:p w14:paraId="7926AD7B" w14:textId="77777777" w:rsidR="000C29B8" w:rsidRDefault="00000000">
      <w:pPr>
        <w:pStyle w:val="23"/>
        <w:numPr>
          <w:ilvl w:val="1"/>
          <w:numId w:val="1"/>
        </w:numPr>
        <w:ind w:left="0" w:firstLine="643"/>
      </w:pPr>
      <w:bookmarkStart w:id="598" w:name="_Toc2800"/>
      <w:r>
        <w:rPr>
          <w:rFonts w:hint="eastAsia"/>
        </w:rPr>
        <w:t>股份质押</w:t>
      </w:r>
      <w:bookmarkEnd w:id="598"/>
    </w:p>
    <w:p w14:paraId="5BDA4B7B" w14:textId="77777777" w:rsidR="000C29B8" w:rsidRDefault="00000000">
      <w:pPr>
        <w:numPr>
          <w:ilvl w:val="2"/>
          <w:numId w:val="40"/>
        </w:numPr>
        <w:tabs>
          <w:tab w:val="clear" w:pos="709"/>
          <w:tab w:val="left" w:pos="0"/>
        </w:tabs>
        <w:snapToGrid w:val="0"/>
        <w:spacing w:line="560" w:lineRule="exact"/>
        <w:ind w:left="0" w:firstLineChars="200" w:firstLine="640"/>
        <w:rPr>
          <w:rFonts w:ascii="仿宋_GB2312" w:eastAsia="仿宋_GB2312"/>
          <w:kern w:val="28"/>
          <w:sz w:val="32"/>
          <w:szCs w:val="32"/>
        </w:rPr>
      </w:pPr>
      <w:r>
        <w:rPr>
          <w:rFonts w:ascii="仿宋_GB2312" w:eastAsia="仿宋_GB2312" w:hint="eastAsia"/>
          <w:kern w:val="28"/>
          <w:sz w:val="32"/>
          <w:szCs w:val="32"/>
        </w:rPr>
        <w:t>上市公司控股股东应当审慎质押所持公司股份，合理使用融入资金，维持上市公司控制权和生产经营稳定。</w:t>
      </w:r>
    </w:p>
    <w:p w14:paraId="608E9B01" w14:textId="77777777" w:rsidR="000C29B8" w:rsidRDefault="00000000">
      <w:pPr>
        <w:numPr>
          <w:ilvl w:val="2"/>
          <w:numId w:val="40"/>
        </w:numPr>
        <w:tabs>
          <w:tab w:val="clear" w:pos="709"/>
          <w:tab w:val="left" w:pos="0"/>
        </w:tabs>
        <w:snapToGrid w:val="0"/>
        <w:spacing w:line="560" w:lineRule="exact"/>
        <w:ind w:left="0" w:firstLineChars="200" w:firstLine="640"/>
        <w:rPr>
          <w:rFonts w:ascii="仿宋_GB2312" w:eastAsia="仿宋_GB2312"/>
          <w:kern w:val="28"/>
          <w:sz w:val="32"/>
          <w:szCs w:val="32"/>
        </w:rPr>
      </w:pPr>
      <w:r>
        <w:rPr>
          <w:rFonts w:ascii="仿宋_GB2312" w:eastAsia="仿宋_GB2312" w:hint="eastAsia"/>
          <w:kern w:val="28"/>
          <w:sz w:val="32"/>
          <w:szCs w:val="32"/>
        </w:rPr>
        <w:t>上市公司控股股东及其一致行动人质</w:t>
      </w:r>
      <w:proofErr w:type="gramStart"/>
      <w:r>
        <w:rPr>
          <w:rFonts w:ascii="仿宋_GB2312" w:eastAsia="仿宋_GB2312" w:hint="eastAsia"/>
          <w:kern w:val="28"/>
          <w:sz w:val="32"/>
          <w:szCs w:val="32"/>
        </w:rPr>
        <w:t>押</w:t>
      </w:r>
      <w:proofErr w:type="gramEnd"/>
      <w:r>
        <w:rPr>
          <w:rFonts w:ascii="仿宋_GB2312" w:eastAsia="仿宋_GB2312" w:hint="eastAsia"/>
          <w:kern w:val="28"/>
          <w:sz w:val="32"/>
          <w:szCs w:val="32"/>
        </w:rPr>
        <w:t>股份占其所持股份的比例达到50%以上，以及之后质押股份的，应当及时通知公司，并披露下列信息：</w:t>
      </w:r>
    </w:p>
    <w:p w14:paraId="59DD4FBA" w14:textId="77777777" w:rsidR="000C29B8" w:rsidRDefault="00000000">
      <w:pPr>
        <w:pStyle w:val="afa"/>
        <w:numPr>
          <w:ilvl w:val="3"/>
          <w:numId w:val="1"/>
        </w:numPr>
        <w:tabs>
          <w:tab w:val="clear" w:pos="1980"/>
          <w:tab w:val="left" w:pos="1701"/>
        </w:tabs>
        <w:snapToGrid w:val="0"/>
        <w:spacing w:line="560" w:lineRule="exact"/>
        <w:ind w:left="0" w:firstLine="640"/>
        <w:rPr>
          <w:rFonts w:ascii="仿宋_GB2312"/>
          <w:kern w:val="28"/>
          <w:sz w:val="32"/>
          <w:szCs w:val="32"/>
        </w:rPr>
      </w:pPr>
      <w:r>
        <w:rPr>
          <w:rFonts w:ascii="仿宋_GB2312" w:hint="eastAsia"/>
          <w:kern w:val="28"/>
          <w:sz w:val="32"/>
          <w:szCs w:val="32"/>
        </w:rPr>
        <w:t>本次质押股份数量、累计质押股份数量以及占其所持公司股份的比例；</w:t>
      </w:r>
    </w:p>
    <w:p w14:paraId="1A486EA9" w14:textId="77777777" w:rsidR="000C29B8" w:rsidRDefault="00000000">
      <w:pPr>
        <w:pStyle w:val="afa"/>
        <w:numPr>
          <w:ilvl w:val="3"/>
          <w:numId w:val="1"/>
        </w:numPr>
        <w:tabs>
          <w:tab w:val="clear" w:pos="1980"/>
          <w:tab w:val="left" w:pos="0"/>
        </w:tabs>
        <w:snapToGrid w:val="0"/>
        <w:spacing w:line="560" w:lineRule="exact"/>
        <w:ind w:left="0" w:firstLine="640"/>
        <w:rPr>
          <w:rFonts w:ascii="仿宋_GB2312"/>
          <w:kern w:val="28"/>
          <w:sz w:val="32"/>
          <w:szCs w:val="32"/>
        </w:rPr>
      </w:pPr>
      <w:r>
        <w:rPr>
          <w:rFonts w:ascii="仿宋_GB2312" w:hint="eastAsia"/>
          <w:kern w:val="28"/>
          <w:sz w:val="32"/>
          <w:szCs w:val="32"/>
        </w:rPr>
        <w:t>本次质押期限、质押融资款项的最终用途及资金偿还安排；</w:t>
      </w:r>
    </w:p>
    <w:p w14:paraId="67CA05EF" w14:textId="77777777" w:rsidR="000C29B8" w:rsidRDefault="00000000">
      <w:pPr>
        <w:pStyle w:val="afa"/>
        <w:numPr>
          <w:ilvl w:val="3"/>
          <w:numId w:val="1"/>
        </w:numPr>
        <w:tabs>
          <w:tab w:val="clear" w:pos="1980"/>
          <w:tab w:val="left" w:pos="0"/>
        </w:tabs>
        <w:snapToGrid w:val="0"/>
        <w:spacing w:line="560" w:lineRule="exact"/>
        <w:ind w:left="0" w:firstLine="640"/>
        <w:rPr>
          <w:rFonts w:ascii="仿宋_GB2312"/>
          <w:kern w:val="28"/>
          <w:sz w:val="32"/>
          <w:szCs w:val="32"/>
        </w:rPr>
      </w:pPr>
      <w:r>
        <w:rPr>
          <w:rFonts w:ascii="仿宋_GB2312" w:hint="eastAsia"/>
          <w:kern w:val="28"/>
          <w:sz w:val="32"/>
          <w:szCs w:val="32"/>
        </w:rPr>
        <w:t>控股股东及实际控制人的经营状况、财务状况、偿债能力、近一年对外投资情况，以及是否存在债务逾期或其他资信恶化的情形；</w:t>
      </w:r>
    </w:p>
    <w:p w14:paraId="4C529909" w14:textId="77777777" w:rsidR="000C29B8" w:rsidRDefault="00000000">
      <w:pPr>
        <w:pStyle w:val="afa"/>
        <w:numPr>
          <w:ilvl w:val="3"/>
          <w:numId w:val="1"/>
        </w:numPr>
        <w:tabs>
          <w:tab w:val="clear" w:pos="1980"/>
          <w:tab w:val="left" w:pos="0"/>
        </w:tabs>
        <w:snapToGrid w:val="0"/>
        <w:spacing w:line="560" w:lineRule="exact"/>
        <w:ind w:left="0" w:firstLine="640"/>
        <w:rPr>
          <w:rFonts w:ascii="仿宋_GB2312"/>
          <w:kern w:val="28"/>
          <w:sz w:val="32"/>
          <w:szCs w:val="32"/>
        </w:rPr>
      </w:pPr>
      <w:r>
        <w:rPr>
          <w:rFonts w:ascii="仿宋_GB2312" w:hint="eastAsia"/>
          <w:kern w:val="28"/>
          <w:sz w:val="32"/>
          <w:szCs w:val="32"/>
        </w:rPr>
        <w:t>控股股东及其关联方与上市公司之间的关联交易、资金往来、担保、共同投资，以及控股股东、实际控制人是否占用上市公司资源；</w:t>
      </w:r>
    </w:p>
    <w:p w14:paraId="17C5C7BD" w14:textId="77777777" w:rsidR="000C29B8" w:rsidRDefault="00000000">
      <w:pPr>
        <w:pStyle w:val="afa"/>
        <w:numPr>
          <w:ilvl w:val="3"/>
          <w:numId w:val="1"/>
        </w:numPr>
        <w:tabs>
          <w:tab w:val="clear" w:pos="1980"/>
          <w:tab w:val="left" w:pos="0"/>
        </w:tabs>
        <w:snapToGrid w:val="0"/>
        <w:spacing w:line="560" w:lineRule="exact"/>
        <w:ind w:left="0" w:firstLine="640"/>
        <w:rPr>
          <w:rFonts w:ascii="仿宋_GB2312"/>
          <w:kern w:val="28"/>
          <w:sz w:val="32"/>
          <w:szCs w:val="32"/>
        </w:rPr>
      </w:pPr>
      <w:r>
        <w:rPr>
          <w:rFonts w:ascii="仿宋_GB2312" w:hint="eastAsia"/>
          <w:kern w:val="28"/>
          <w:sz w:val="32"/>
          <w:szCs w:val="32"/>
        </w:rPr>
        <w:t>股份质押对上市公司控制权的影响；</w:t>
      </w:r>
    </w:p>
    <w:p w14:paraId="198C4C7E" w14:textId="77777777" w:rsidR="000C29B8" w:rsidRDefault="00000000">
      <w:pPr>
        <w:pStyle w:val="afa"/>
        <w:numPr>
          <w:ilvl w:val="3"/>
          <w:numId w:val="1"/>
        </w:numPr>
        <w:tabs>
          <w:tab w:val="clear" w:pos="1980"/>
          <w:tab w:val="left" w:pos="0"/>
        </w:tabs>
        <w:snapToGrid w:val="0"/>
        <w:spacing w:line="560" w:lineRule="exact"/>
        <w:ind w:left="0" w:firstLine="640"/>
        <w:rPr>
          <w:rFonts w:ascii="仿宋_GB2312"/>
          <w:kern w:val="28"/>
          <w:sz w:val="32"/>
          <w:szCs w:val="32"/>
        </w:rPr>
      </w:pPr>
      <w:r>
        <w:rPr>
          <w:rFonts w:ascii="仿宋_GB2312" w:hint="eastAsia"/>
          <w:kern w:val="28"/>
          <w:sz w:val="32"/>
          <w:szCs w:val="32"/>
        </w:rPr>
        <w:t>本所要求披露的其他信息。</w:t>
      </w:r>
    </w:p>
    <w:p w14:paraId="365F4568" w14:textId="77777777" w:rsidR="000C29B8" w:rsidRDefault="00000000">
      <w:pPr>
        <w:numPr>
          <w:ilvl w:val="2"/>
          <w:numId w:val="40"/>
        </w:numPr>
        <w:tabs>
          <w:tab w:val="clear" w:pos="709"/>
          <w:tab w:val="left" w:pos="0"/>
        </w:tabs>
        <w:snapToGrid w:val="0"/>
        <w:spacing w:line="560" w:lineRule="exact"/>
        <w:ind w:left="0" w:firstLineChars="200" w:firstLine="640"/>
        <w:rPr>
          <w:rFonts w:ascii="仿宋_GB2312" w:eastAsia="仿宋_GB2312"/>
          <w:kern w:val="28"/>
          <w:sz w:val="32"/>
          <w:szCs w:val="32"/>
        </w:rPr>
      </w:pPr>
      <w:r>
        <w:rPr>
          <w:rFonts w:ascii="仿宋_GB2312" w:eastAsia="仿宋_GB2312" w:hint="eastAsia"/>
          <w:kern w:val="28"/>
          <w:sz w:val="32"/>
          <w:szCs w:val="32"/>
        </w:rPr>
        <w:t>上市公司控股股东及其一致行动人质</w:t>
      </w:r>
      <w:proofErr w:type="gramStart"/>
      <w:r>
        <w:rPr>
          <w:rFonts w:ascii="仿宋_GB2312" w:eastAsia="仿宋_GB2312" w:hint="eastAsia"/>
          <w:kern w:val="28"/>
          <w:sz w:val="32"/>
          <w:szCs w:val="32"/>
        </w:rPr>
        <w:t>押</w:t>
      </w:r>
      <w:proofErr w:type="gramEnd"/>
      <w:r>
        <w:rPr>
          <w:rFonts w:ascii="仿宋_GB2312" w:eastAsia="仿宋_GB2312" w:hint="eastAsia"/>
          <w:kern w:val="28"/>
          <w:sz w:val="32"/>
          <w:szCs w:val="32"/>
        </w:rPr>
        <w:t>股份占其所持股份的比例达到50%以上，且出现债务逾期或其他资</w:t>
      </w:r>
      <w:r>
        <w:rPr>
          <w:rFonts w:ascii="仿宋_GB2312" w:eastAsia="仿宋_GB2312" w:hint="eastAsia"/>
          <w:kern w:val="28"/>
          <w:sz w:val="32"/>
          <w:szCs w:val="32"/>
        </w:rPr>
        <w:lastRenderedPageBreak/>
        <w:t>信恶化情形的，应当及时通知公司并披露下列信息：</w:t>
      </w:r>
    </w:p>
    <w:p w14:paraId="7FF67321" w14:textId="77777777" w:rsidR="000C29B8" w:rsidRDefault="00000000">
      <w:pPr>
        <w:pStyle w:val="afa"/>
        <w:numPr>
          <w:ilvl w:val="0"/>
          <w:numId w:val="41"/>
        </w:numPr>
        <w:tabs>
          <w:tab w:val="left" w:pos="1134"/>
          <w:tab w:val="left" w:pos="1276"/>
          <w:tab w:val="left" w:pos="1418"/>
          <w:tab w:val="left" w:pos="1701"/>
        </w:tabs>
        <w:snapToGrid w:val="0"/>
        <w:spacing w:line="560" w:lineRule="exact"/>
        <w:ind w:left="0" w:firstLine="640"/>
        <w:rPr>
          <w:rFonts w:ascii="仿宋_GB2312"/>
          <w:kern w:val="28"/>
          <w:sz w:val="32"/>
          <w:szCs w:val="32"/>
        </w:rPr>
      </w:pPr>
      <w:r>
        <w:rPr>
          <w:rFonts w:ascii="仿宋_GB2312" w:hint="eastAsia"/>
          <w:kern w:val="28"/>
          <w:sz w:val="32"/>
          <w:szCs w:val="32"/>
        </w:rPr>
        <w:t>债务逾期金额、原因及应对措施；</w:t>
      </w:r>
    </w:p>
    <w:p w14:paraId="2CABBCB7" w14:textId="77777777" w:rsidR="000C29B8" w:rsidRDefault="00000000">
      <w:pPr>
        <w:pStyle w:val="afa"/>
        <w:numPr>
          <w:ilvl w:val="0"/>
          <w:numId w:val="41"/>
        </w:numPr>
        <w:tabs>
          <w:tab w:val="left" w:pos="1134"/>
          <w:tab w:val="left" w:pos="1418"/>
          <w:tab w:val="left" w:pos="1560"/>
        </w:tabs>
        <w:snapToGrid w:val="0"/>
        <w:spacing w:line="560" w:lineRule="exact"/>
        <w:ind w:left="0" w:firstLine="640"/>
        <w:rPr>
          <w:rFonts w:ascii="仿宋_GB2312"/>
          <w:kern w:val="28"/>
          <w:sz w:val="32"/>
          <w:szCs w:val="32"/>
        </w:rPr>
      </w:pPr>
      <w:r>
        <w:rPr>
          <w:rFonts w:ascii="仿宋_GB2312" w:hint="eastAsia"/>
          <w:kern w:val="28"/>
          <w:sz w:val="32"/>
          <w:szCs w:val="32"/>
        </w:rPr>
        <w:t>是否存在平仓风险以及可能被平仓的股份数量和比例；</w:t>
      </w:r>
    </w:p>
    <w:p w14:paraId="5373788B" w14:textId="77777777" w:rsidR="000C29B8" w:rsidRDefault="00000000">
      <w:pPr>
        <w:pStyle w:val="afa"/>
        <w:numPr>
          <w:ilvl w:val="0"/>
          <w:numId w:val="41"/>
        </w:numPr>
        <w:tabs>
          <w:tab w:val="left" w:pos="1134"/>
          <w:tab w:val="left" w:pos="1418"/>
          <w:tab w:val="left" w:pos="1560"/>
        </w:tabs>
        <w:snapToGrid w:val="0"/>
        <w:spacing w:line="560" w:lineRule="exact"/>
        <w:ind w:left="0" w:firstLine="640"/>
        <w:rPr>
          <w:rFonts w:ascii="仿宋_GB2312"/>
          <w:kern w:val="28"/>
          <w:sz w:val="32"/>
          <w:szCs w:val="32"/>
        </w:rPr>
      </w:pPr>
      <w:r>
        <w:rPr>
          <w:rFonts w:ascii="仿宋_GB2312" w:hint="eastAsia"/>
          <w:kern w:val="28"/>
          <w:sz w:val="32"/>
          <w:szCs w:val="32"/>
        </w:rPr>
        <w:t>第9.2.2条第三项至第五项规定的内容；</w:t>
      </w:r>
    </w:p>
    <w:p w14:paraId="0FE451F4" w14:textId="77777777" w:rsidR="000C29B8" w:rsidRDefault="00000000">
      <w:pPr>
        <w:pStyle w:val="afa"/>
        <w:numPr>
          <w:ilvl w:val="0"/>
          <w:numId w:val="41"/>
        </w:numPr>
        <w:tabs>
          <w:tab w:val="left" w:pos="1134"/>
          <w:tab w:val="left" w:pos="1418"/>
          <w:tab w:val="left" w:pos="1560"/>
        </w:tabs>
        <w:snapToGrid w:val="0"/>
        <w:spacing w:line="560" w:lineRule="exact"/>
        <w:ind w:left="0" w:firstLine="640"/>
        <w:rPr>
          <w:rFonts w:ascii="仿宋_GB2312"/>
          <w:kern w:val="28"/>
          <w:sz w:val="32"/>
          <w:szCs w:val="32"/>
        </w:rPr>
      </w:pPr>
      <w:r>
        <w:rPr>
          <w:rFonts w:ascii="仿宋_GB2312" w:hint="eastAsia"/>
          <w:kern w:val="28"/>
          <w:sz w:val="32"/>
          <w:szCs w:val="32"/>
        </w:rPr>
        <w:t>本所要求披露的其他信息。</w:t>
      </w:r>
    </w:p>
    <w:p w14:paraId="4528AEDE" w14:textId="77777777" w:rsidR="000C29B8" w:rsidRDefault="00000000">
      <w:pPr>
        <w:numPr>
          <w:ilvl w:val="2"/>
          <w:numId w:val="40"/>
        </w:numPr>
        <w:tabs>
          <w:tab w:val="clear" w:pos="709"/>
          <w:tab w:val="left" w:pos="0"/>
        </w:tabs>
        <w:snapToGrid w:val="0"/>
        <w:spacing w:line="560" w:lineRule="exact"/>
        <w:ind w:left="0" w:firstLineChars="200" w:firstLine="640"/>
        <w:rPr>
          <w:rFonts w:ascii="仿宋_GB2312" w:eastAsia="仿宋_GB2312"/>
          <w:kern w:val="28"/>
          <w:sz w:val="32"/>
          <w:szCs w:val="32"/>
        </w:rPr>
      </w:pPr>
      <w:r>
        <w:rPr>
          <w:rFonts w:ascii="仿宋_GB2312" w:eastAsia="仿宋_GB2312" w:hint="eastAsia"/>
          <w:kern w:val="28"/>
          <w:sz w:val="32"/>
          <w:szCs w:val="32"/>
        </w:rPr>
        <w:t>控股股东及其一致行动人出现质押平仓风险的，应当及时通知上市公司，披露是否可能导致公司控制权发生变更、拟采取的措施，并充分提示风险。</w:t>
      </w:r>
    </w:p>
    <w:p w14:paraId="44C96173" w14:textId="77777777" w:rsidR="000C29B8" w:rsidRDefault="00000000">
      <w:pPr>
        <w:snapToGrid w:val="0"/>
        <w:spacing w:line="560" w:lineRule="exact"/>
        <w:ind w:firstLineChars="200" w:firstLine="640"/>
        <w:rPr>
          <w:rFonts w:ascii="仿宋_GB2312" w:eastAsia="仿宋_GB2312"/>
          <w:kern w:val="28"/>
          <w:sz w:val="32"/>
          <w:szCs w:val="32"/>
        </w:rPr>
      </w:pPr>
      <w:r>
        <w:rPr>
          <w:rFonts w:ascii="仿宋_GB2312" w:eastAsia="仿宋_GB2312" w:hint="eastAsia"/>
          <w:kern w:val="28"/>
          <w:sz w:val="32"/>
          <w:szCs w:val="32"/>
        </w:rPr>
        <w:t>控股股东及其一致行动人质</w:t>
      </w:r>
      <w:proofErr w:type="gramStart"/>
      <w:r>
        <w:rPr>
          <w:rFonts w:ascii="仿宋_GB2312" w:eastAsia="仿宋_GB2312" w:hint="eastAsia"/>
          <w:kern w:val="28"/>
          <w:sz w:val="32"/>
          <w:szCs w:val="32"/>
        </w:rPr>
        <w:t>押</w:t>
      </w:r>
      <w:proofErr w:type="gramEnd"/>
      <w:r>
        <w:rPr>
          <w:rFonts w:ascii="仿宋_GB2312" w:eastAsia="仿宋_GB2312" w:hint="eastAsia"/>
          <w:kern w:val="28"/>
          <w:sz w:val="32"/>
          <w:szCs w:val="32"/>
        </w:rPr>
        <w:t>股份被强制平仓或平仓风险解除的，应当持续披露进展。</w:t>
      </w:r>
    </w:p>
    <w:p w14:paraId="7CAC5AB5" w14:textId="77777777" w:rsidR="000C29B8" w:rsidRDefault="00000000">
      <w:pPr>
        <w:numPr>
          <w:ilvl w:val="2"/>
          <w:numId w:val="40"/>
        </w:numPr>
        <w:tabs>
          <w:tab w:val="clear" w:pos="709"/>
          <w:tab w:val="left" w:pos="0"/>
        </w:tabs>
        <w:snapToGrid w:val="0"/>
        <w:spacing w:line="560" w:lineRule="exact"/>
        <w:ind w:left="0" w:firstLineChars="200" w:firstLine="640"/>
        <w:rPr>
          <w:rFonts w:ascii="仿宋_GB2312" w:eastAsia="仿宋_GB2312"/>
          <w:kern w:val="28"/>
          <w:sz w:val="32"/>
          <w:szCs w:val="32"/>
        </w:rPr>
      </w:pPr>
      <w:r>
        <w:rPr>
          <w:rFonts w:ascii="仿宋_GB2312" w:eastAsia="仿宋_GB2312" w:hint="eastAsia"/>
          <w:kern w:val="28"/>
          <w:sz w:val="32"/>
          <w:szCs w:val="32"/>
        </w:rPr>
        <w:t>上市公司持股5%以上股东质押股份，应当在2个交易日内通知上市公司，并披露本次质押股份数量、累计质押股份数量以及占公司总股本比例。</w:t>
      </w:r>
    </w:p>
    <w:p w14:paraId="7B20BB1A" w14:textId="77777777" w:rsidR="000C29B8" w:rsidRDefault="00000000">
      <w:pPr>
        <w:pStyle w:val="23"/>
        <w:numPr>
          <w:ilvl w:val="1"/>
          <w:numId w:val="1"/>
        </w:numPr>
        <w:ind w:left="0" w:firstLine="643"/>
      </w:pPr>
      <w:bookmarkStart w:id="599" w:name="_Toc20132"/>
      <w:r>
        <w:rPr>
          <w:rFonts w:hint="eastAsia"/>
        </w:rPr>
        <w:t>其他</w:t>
      </w:r>
      <w:bookmarkEnd w:id="599"/>
    </w:p>
    <w:p w14:paraId="31B6BD45" w14:textId="77777777" w:rsidR="000C29B8" w:rsidRDefault="00000000">
      <w:pPr>
        <w:numPr>
          <w:ilvl w:val="2"/>
          <w:numId w:val="42"/>
        </w:numPr>
        <w:tabs>
          <w:tab w:val="left" w:pos="1560"/>
        </w:tabs>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上市公司应当及时披露下列重大诉讼、仲裁：</w:t>
      </w:r>
    </w:p>
    <w:p w14:paraId="4A87DE67" w14:textId="77777777" w:rsidR="000C29B8" w:rsidRDefault="00000000">
      <w:pPr>
        <w:tabs>
          <w:tab w:val="left" w:pos="1560"/>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（一）涉案金额超过</w:t>
      </w:r>
      <w:r>
        <w:rPr>
          <w:rFonts w:ascii="仿宋_GB2312" w:eastAsia="仿宋_GB2312" w:hAnsi="宋体"/>
          <w:sz w:val="32"/>
          <w:szCs w:val="32"/>
        </w:rPr>
        <w:t>1000万元，且占公司最近一期经审计总资产</w:t>
      </w:r>
      <w:r>
        <w:rPr>
          <w:rFonts w:ascii="仿宋_GB2312" w:eastAsia="仿宋_GB2312" w:hAnsi="宋体" w:hint="eastAsia"/>
          <w:sz w:val="32"/>
          <w:szCs w:val="32"/>
        </w:rPr>
        <w:t>或者</w:t>
      </w:r>
      <w:r>
        <w:rPr>
          <w:rFonts w:ascii="仿宋_GB2312" w:eastAsia="仿宋_GB2312" w:hAnsi="宋体"/>
          <w:sz w:val="32"/>
          <w:szCs w:val="32"/>
        </w:rPr>
        <w:t>市值</w:t>
      </w:r>
      <w:r>
        <w:rPr>
          <w:rFonts w:ascii="仿宋_GB2312" w:eastAsia="仿宋_GB2312" w:hAnsi="宋体" w:hint="eastAsia"/>
          <w:sz w:val="32"/>
          <w:szCs w:val="32"/>
        </w:rPr>
        <w:t>（按照第7.1.5条规定计算）</w:t>
      </w:r>
      <w:r>
        <w:rPr>
          <w:rFonts w:ascii="仿宋_GB2312" w:eastAsia="仿宋_GB2312" w:hAnsi="宋体"/>
          <w:sz w:val="32"/>
          <w:szCs w:val="32"/>
        </w:rPr>
        <w:t>1%以上</w:t>
      </w:r>
      <w:r>
        <w:rPr>
          <w:rFonts w:ascii="仿宋_GB2312" w:eastAsia="仿宋_GB2312" w:hAnsi="宋体" w:hint="eastAsia"/>
          <w:sz w:val="32"/>
          <w:szCs w:val="32"/>
        </w:rPr>
        <w:t>；</w:t>
      </w:r>
    </w:p>
    <w:p w14:paraId="596BE331" w14:textId="77777777" w:rsidR="000C29B8" w:rsidRDefault="00000000">
      <w:pPr>
        <w:tabs>
          <w:tab w:val="left" w:pos="1560"/>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（二）股东大会、董事会决议被申请撤销或者宣告无效；</w:t>
      </w:r>
    </w:p>
    <w:p w14:paraId="1AF7BD79" w14:textId="77777777" w:rsidR="000C29B8" w:rsidRDefault="00000000">
      <w:pPr>
        <w:tabs>
          <w:tab w:val="left" w:pos="1560"/>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（三）董事会认为可能对公司控制权稳定、生产经营或股票交易价格产生较大影响的其他诉讼、仲裁。</w:t>
      </w:r>
    </w:p>
    <w:p w14:paraId="2D2C894D" w14:textId="77777777" w:rsidR="000C29B8" w:rsidRDefault="00000000">
      <w:pPr>
        <w:numPr>
          <w:ilvl w:val="2"/>
          <w:numId w:val="42"/>
        </w:numPr>
        <w:tabs>
          <w:tab w:val="left" w:pos="1560"/>
        </w:tabs>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 xml:space="preserve">上市公司应当履行承诺。未履行承诺的，应当及时披露原因及解决措施。  </w:t>
      </w:r>
    </w:p>
    <w:p w14:paraId="209C073F" w14:textId="77777777" w:rsidR="000C29B8" w:rsidRDefault="00000000">
      <w:pPr>
        <w:tabs>
          <w:tab w:val="left" w:pos="1560"/>
        </w:tabs>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上市公司应当督促相关方履行承诺。相关方未履行承诺</w:t>
      </w:r>
      <w:r>
        <w:rPr>
          <w:rFonts w:ascii="仿宋_GB2312" w:eastAsia="仿宋_GB2312" w:hint="eastAsia"/>
          <w:sz w:val="32"/>
          <w:szCs w:val="32"/>
        </w:rPr>
        <w:lastRenderedPageBreak/>
        <w:t>的，上市公司应当及时披露董事会拟采取的措施。</w:t>
      </w:r>
    </w:p>
    <w:p w14:paraId="1CCEBF2D" w14:textId="77777777" w:rsidR="000C29B8" w:rsidRDefault="00000000">
      <w:pPr>
        <w:numPr>
          <w:ilvl w:val="2"/>
          <w:numId w:val="42"/>
        </w:numPr>
        <w:tabs>
          <w:tab w:val="left" w:pos="1560"/>
        </w:tabs>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上市公司应当建立完善募集资金的存储、使用、变更、决策、监督和责任追究等制度，披露募集资金重点投向科技创新领域的具体安排，并持续披露募集资金使用情况。</w:t>
      </w:r>
    </w:p>
    <w:p w14:paraId="4288D92B" w14:textId="77777777" w:rsidR="000C29B8" w:rsidRDefault="00000000">
      <w:pPr>
        <w:numPr>
          <w:ilvl w:val="2"/>
          <w:numId w:val="42"/>
        </w:numPr>
        <w:tabs>
          <w:tab w:val="left" w:pos="1560"/>
        </w:tabs>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上市公司出现下列情形之一的，应当及时披露：</w:t>
      </w:r>
    </w:p>
    <w:p w14:paraId="17002CD3"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（一）变更公司名称、股票简称、公司章程、注册资本、注册地址、主要办公地址和联系电话等；</w:t>
      </w:r>
    </w:p>
    <w:p w14:paraId="7CC46B32"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（二）</w:t>
      </w:r>
      <w:r>
        <w:rPr>
          <w:rFonts w:ascii="仿宋_GB2312" w:eastAsia="仿宋_GB2312"/>
          <w:sz w:val="32"/>
          <w:szCs w:val="32"/>
        </w:rPr>
        <w:t>经营方针和经营范围</w:t>
      </w:r>
      <w:r>
        <w:rPr>
          <w:rFonts w:ascii="仿宋_GB2312" w:eastAsia="仿宋_GB2312" w:hint="eastAsia"/>
          <w:sz w:val="32"/>
          <w:szCs w:val="32"/>
        </w:rPr>
        <w:t>发生</w:t>
      </w:r>
      <w:r>
        <w:rPr>
          <w:rFonts w:ascii="仿宋_GB2312" w:eastAsia="仿宋_GB2312"/>
          <w:sz w:val="32"/>
          <w:szCs w:val="32"/>
        </w:rPr>
        <w:t>重大变化；</w:t>
      </w:r>
    </w:p>
    <w:p w14:paraId="1651677C"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（三）变更会计政策或者会计估计；</w:t>
      </w:r>
    </w:p>
    <w:p w14:paraId="4BFBBF83"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（四）公司法定代表人、经理、董事（</w:t>
      </w:r>
      <w:proofErr w:type="gramStart"/>
      <w:r>
        <w:rPr>
          <w:rFonts w:ascii="仿宋_GB2312" w:eastAsia="仿宋_GB2312" w:hint="eastAsia"/>
          <w:sz w:val="32"/>
          <w:szCs w:val="32"/>
        </w:rPr>
        <w:t>含独立</w:t>
      </w:r>
      <w:proofErr w:type="gramEnd"/>
      <w:r>
        <w:rPr>
          <w:rFonts w:ascii="仿宋_GB2312" w:eastAsia="仿宋_GB2312" w:hint="eastAsia"/>
          <w:sz w:val="32"/>
          <w:szCs w:val="32"/>
        </w:rPr>
        <w:t>董事）或者三分之一以上的监事提出辞职或者发生变动；</w:t>
      </w:r>
    </w:p>
    <w:p w14:paraId="13EED8AA"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（五）聘任或者解聘为公司定期报告出具审计意见的会计师事务所；</w:t>
      </w:r>
    </w:p>
    <w:p w14:paraId="4CFA9D97"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（六）法院裁定禁止公司控股股东转让其所持本公司股份；</w:t>
      </w:r>
    </w:p>
    <w:p w14:paraId="457C8DA9"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（七）持股5%以上股东的</w:t>
      </w:r>
      <w:r>
        <w:rPr>
          <w:rFonts w:ascii="仿宋_GB2312" w:eastAsia="仿宋_GB2312"/>
          <w:sz w:val="32"/>
          <w:szCs w:val="32"/>
        </w:rPr>
        <w:t>股份被</w:t>
      </w:r>
      <w:r>
        <w:rPr>
          <w:rFonts w:ascii="仿宋_GB2312" w:eastAsia="仿宋_GB2312" w:hint="eastAsia"/>
          <w:sz w:val="32"/>
          <w:szCs w:val="32"/>
        </w:rPr>
        <w:t>冻结、司法拍卖、托管、设定信托或者被依法限制表决权</w:t>
      </w:r>
      <w:r>
        <w:rPr>
          <w:rFonts w:ascii="仿宋_GB2312" w:eastAsia="仿宋_GB2312"/>
          <w:sz w:val="32"/>
          <w:szCs w:val="32"/>
        </w:rPr>
        <w:t>；</w:t>
      </w:r>
    </w:p>
    <w:p w14:paraId="56536422"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（八）发生可能对公司资产、负债、权益或者经营成果产生重大影响的其他事项；</w:t>
      </w:r>
    </w:p>
    <w:p w14:paraId="58356117"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（九）本所或者公司认定的其他情形。</w:t>
      </w:r>
    </w:p>
    <w:p w14:paraId="12DA890C" w14:textId="77777777" w:rsidR="000C29B8" w:rsidRDefault="00000000">
      <w:pPr>
        <w:tabs>
          <w:tab w:val="left" w:pos="1560"/>
        </w:tabs>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上述事项涉及具体金额的，比照适用第7.1.2条的规定或本所其他规定。</w:t>
      </w:r>
    </w:p>
    <w:p w14:paraId="64C85518" w14:textId="77777777" w:rsidR="000C29B8" w:rsidRDefault="000C29B8">
      <w:pPr>
        <w:snapToGrid w:val="0"/>
        <w:spacing w:line="560" w:lineRule="exact"/>
        <w:ind w:firstLineChars="200" w:firstLine="640"/>
        <w:rPr>
          <w:rFonts w:ascii="仿宋_GB2312" w:eastAsia="仿宋_GB2312" w:hAnsi="Arial Unicode MS" w:cs="Arial Unicode MS"/>
          <w:sz w:val="32"/>
          <w:szCs w:val="32"/>
        </w:rPr>
      </w:pPr>
    </w:p>
    <w:p w14:paraId="74755B59" w14:textId="77777777" w:rsidR="000C29B8" w:rsidRDefault="00000000">
      <w:pPr>
        <w:pStyle w:val="6"/>
        <w:rPr>
          <w:b/>
        </w:rPr>
      </w:pPr>
      <w:bookmarkStart w:id="600" w:name="_Toc530127408"/>
      <w:bookmarkStart w:id="601" w:name="_Toc530127400"/>
      <w:bookmarkStart w:id="602" w:name="_Toc530127402"/>
      <w:bookmarkStart w:id="603" w:name="_Toc530127397"/>
      <w:bookmarkStart w:id="604" w:name="_Toc530127404"/>
      <w:bookmarkStart w:id="605" w:name="_Toc530127403"/>
      <w:bookmarkStart w:id="606" w:name="_Toc530127407"/>
      <w:bookmarkStart w:id="607" w:name="_Toc530127398"/>
      <w:bookmarkStart w:id="608" w:name="_Toc530127399"/>
      <w:bookmarkStart w:id="609" w:name="_Toc530127401"/>
      <w:bookmarkStart w:id="610" w:name="_Toc530127405"/>
      <w:bookmarkStart w:id="611" w:name="_Toc530127406"/>
      <w:bookmarkStart w:id="612" w:name="_Toc15423"/>
      <w:bookmarkEnd w:id="600"/>
      <w:bookmarkEnd w:id="601"/>
      <w:bookmarkEnd w:id="602"/>
      <w:bookmarkEnd w:id="603"/>
      <w:bookmarkEnd w:id="604"/>
      <w:bookmarkEnd w:id="605"/>
      <w:bookmarkEnd w:id="606"/>
      <w:bookmarkEnd w:id="607"/>
      <w:bookmarkEnd w:id="608"/>
      <w:bookmarkEnd w:id="609"/>
      <w:bookmarkEnd w:id="610"/>
      <w:bookmarkEnd w:id="611"/>
      <w:r>
        <w:rPr>
          <w:rFonts w:hint="eastAsia"/>
        </w:rPr>
        <w:lastRenderedPageBreak/>
        <w:t>股权激励</w:t>
      </w:r>
      <w:bookmarkEnd w:id="612"/>
    </w:p>
    <w:p w14:paraId="553E592C" w14:textId="77777777" w:rsidR="000C29B8" w:rsidRDefault="00000000">
      <w:pPr>
        <w:numPr>
          <w:ilvl w:val="2"/>
          <w:numId w:val="43"/>
        </w:numPr>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上市公司以本公司股票为标的，采用限制性股票、股票期权或者本所认可的其他方式，对董事、高级管理人员及其他员工进行长期性激励的，应当遵守本章规定，履行相应审议程序和信息披露义务。</w:t>
      </w:r>
    </w:p>
    <w:p w14:paraId="53EFBFEE" w14:textId="77777777" w:rsidR="000C29B8" w:rsidRDefault="00000000">
      <w:pPr>
        <w:numPr>
          <w:ilvl w:val="2"/>
          <w:numId w:val="43"/>
        </w:numPr>
        <w:snapToGrid w:val="0"/>
        <w:spacing w:line="560" w:lineRule="exact"/>
        <w:ind w:left="0" w:firstLineChars="200" w:firstLine="640"/>
        <w:rPr>
          <w:rFonts w:ascii="仿宋_GB2312" w:eastAsia="仿宋_GB2312" w:hAnsi="Calibri" w:cs="仿宋_GB2312"/>
          <w:kern w:val="0"/>
          <w:sz w:val="32"/>
          <w:szCs w:val="32"/>
        </w:rPr>
      </w:pPr>
      <w:r>
        <w:rPr>
          <w:rFonts w:ascii="仿宋_GB2312" w:eastAsia="仿宋_GB2312" w:hAnsi="Calibri" w:cs="仿宋_GB2312" w:hint="eastAsia"/>
          <w:kern w:val="0"/>
          <w:sz w:val="32"/>
          <w:szCs w:val="32"/>
        </w:rPr>
        <w:t>上市公司实行股权激励计划，应当设置合理的公司业绩和个人绩效等考核指标，有利于公司持续发展，不得损害公司利益。</w:t>
      </w:r>
    </w:p>
    <w:p w14:paraId="2FA2EA39" w14:textId="77777777" w:rsidR="000C29B8" w:rsidRDefault="00000000">
      <w:pPr>
        <w:autoSpaceDE w:val="0"/>
        <w:autoSpaceDN w:val="0"/>
        <w:adjustRightInd w:val="0"/>
        <w:spacing w:line="560" w:lineRule="exact"/>
        <w:ind w:firstLineChars="200" w:firstLine="640"/>
        <w:jc w:val="left"/>
        <w:rPr>
          <w:rFonts w:ascii="仿宋_GB2312" w:eastAsia="仿宋_GB2312" w:hAnsi="Calibri" w:cs="仿宋_GB2312"/>
          <w:kern w:val="0"/>
          <w:sz w:val="32"/>
          <w:szCs w:val="32"/>
        </w:rPr>
      </w:pPr>
      <w:r>
        <w:rPr>
          <w:rFonts w:ascii="仿宋_GB2312" w:eastAsia="仿宋_GB2312" w:hAnsi="Calibri" w:cs="仿宋_GB2312" w:hint="eastAsia"/>
          <w:kern w:val="0"/>
          <w:sz w:val="32"/>
          <w:szCs w:val="32"/>
        </w:rPr>
        <w:t>董事、监事和高级管理人员在实行股权激励计划中，应当诚实守信、勤勉尽责，维护公司和全体股东的利益。</w:t>
      </w:r>
    </w:p>
    <w:p w14:paraId="1800619B" w14:textId="77777777" w:rsidR="000C29B8" w:rsidRDefault="00000000">
      <w:pPr>
        <w:numPr>
          <w:ilvl w:val="2"/>
          <w:numId w:val="43"/>
        </w:numPr>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上市公司实行股权激励计划的，应当按照有关规定履行信息披露义务。</w:t>
      </w:r>
    </w:p>
    <w:p w14:paraId="61AD2311" w14:textId="77777777" w:rsidR="000C29B8" w:rsidRDefault="00000000">
      <w:pPr>
        <w:snapToGrid w:val="0"/>
        <w:spacing w:line="560" w:lineRule="exact"/>
        <w:ind w:firstLineChars="200" w:firstLine="640"/>
        <w:rPr>
          <w:rFonts w:ascii="仿宋_GB2312" w:eastAsia="仿宋_GB2312" w:hAnsi="Calibri" w:cs="仿宋_GB2312"/>
          <w:kern w:val="0"/>
          <w:sz w:val="32"/>
          <w:szCs w:val="32"/>
        </w:rPr>
      </w:pPr>
      <w:r>
        <w:rPr>
          <w:rFonts w:ascii="仿宋_GB2312" w:eastAsia="仿宋_GB2312" w:hAnsi="Calibri" w:cs="仿宋_GB2312" w:hint="eastAsia"/>
          <w:kern w:val="0"/>
          <w:sz w:val="32"/>
          <w:szCs w:val="32"/>
        </w:rPr>
        <w:t>上市公司应当在年度报告中披露报告期内股权激励计划的实施情况。</w:t>
      </w:r>
    </w:p>
    <w:p w14:paraId="4A272003" w14:textId="77777777" w:rsidR="000C29B8" w:rsidRDefault="00000000">
      <w:pPr>
        <w:numPr>
          <w:ilvl w:val="2"/>
          <w:numId w:val="43"/>
        </w:numPr>
        <w:snapToGrid w:val="0"/>
        <w:spacing w:line="560" w:lineRule="exact"/>
        <w:ind w:left="0" w:firstLineChars="200" w:firstLine="640"/>
        <w:rPr>
          <w:rFonts w:ascii="仿宋_GB2312" w:eastAsia="仿宋_GB2312" w:hAnsi="Calibri" w:cs="仿宋_GB2312"/>
          <w:kern w:val="0"/>
          <w:sz w:val="32"/>
          <w:szCs w:val="32"/>
        </w:rPr>
      </w:pPr>
      <w:r>
        <w:rPr>
          <w:rFonts w:ascii="仿宋_GB2312" w:eastAsia="仿宋_GB2312" w:hAnsi="Calibri" w:cs="仿宋_GB2312" w:hint="eastAsia"/>
          <w:kern w:val="0"/>
          <w:sz w:val="32"/>
          <w:szCs w:val="32"/>
        </w:rPr>
        <w:t>激励对象可以包括上市公司的董事、高级管理人员、核心技术人员或者核心业务人员，以及公司认为应当激励的对公司经营业绩和未来发展有直接影响的其他员工，独立董事和监事除外。</w:t>
      </w:r>
    </w:p>
    <w:p w14:paraId="5A03EEF3" w14:textId="77777777" w:rsidR="000C29B8" w:rsidRDefault="00000000">
      <w:pPr>
        <w:autoSpaceDE w:val="0"/>
        <w:autoSpaceDN w:val="0"/>
        <w:adjustRightInd w:val="0"/>
        <w:spacing w:line="560" w:lineRule="exact"/>
        <w:ind w:firstLineChars="200" w:firstLine="640"/>
        <w:jc w:val="left"/>
        <w:rPr>
          <w:rFonts w:ascii="仿宋_GB2312" w:eastAsia="仿宋_GB2312" w:hAnsi="Calibri" w:cs="仿宋_GB2312"/>
          <w:kern w:val="0"/>
          <w:sz w:val="32"/>
          <w:szCs w:val="32"/>
        </w:rPr>
      </w:pPr>
      <w:r>
        <w:rPr>
          <w:rFonts w:ascii="仿宋_GB2312" w:eastAsia="仿宋_GB2312" w:hAnsi="Calibri" w:cs="仿宋_GB2312" w:hint="eastAsia"/>
          <w:kern w:val="0"/>
          <w:sz w:val="32"/>
          <w:szCs w:val="32"/>
        </w:rPr>
        <w:t>单独或合计持有上市公司</w:t>
      </w:r>
      <w:r>
        <w:rPr>
          <w:rFonts w:ascii="仿宋_GB2312" w:eastAsia="仿宋_GB2312" w:hAnsi="Calibri" w:cs="TimesNewRomanPSMT" w:hint="eastAsia"/>
          <w:kern w:val="0"/>
          <w:sz w:val="32"/>
          <w:szCs w:val="32"/>
        </w:rPr>
        <w:t>5%</w:t>
      </w:r>
      <w:r>
        <w:rPr>
          <w:rFonts w:ascii="仿宋_GB2312" w:eastAsia="仿宋_GB2312" w:hAnsi="Calibri" w:cs="仿宋_GB2312" w:hint="eastAsia"/>
          <w:kern w:val="0"/>
          <w:sz w:val="32"/>
          <w:szCs w:val="32"/>
        </w:rPr>
        <w:t>以上股份的股东、上市公司实际控制人及其配偶、父母、子女以及上市公司外籍员工，在上市公司担任董事、高级管理人员、核心技术人员或者核心业务人员的，可以成为激励对象。</w:t>
      </w:r>
      <w:proofErr w:type="gramStart"/>
      <w:r>
        <w:rPr>
          <w:rFonts w:ascii="仿宋_GB2312" w:eastAsia="仿宋_GB2312" w:hAnsi="Calibri" w:cs="仿宋_GB2312" w:hint="eastAsia"/>
          <w:kern w:val="0"/>
          <w:sz w:val="32"/>
          <w:szCs w:val="32"/>
        </w:rPr>
        <w:t>科创公司</w:t>
      </w:r>
      <w:proofErr w:type="gramEnd"/>
      <w:r>
        <w:rPr>
          <w:rFonts w:ascii="仿宋_GB2312" w:eastAsia="仿宋_GB2312" w:hAnsi="Calibri" w:cs="仿宋_GB2312" w:hint="eastAsia"/>
          <w:kern w:val="0"/>
          <w:sz w:val="32"/>
          <w:szCs w:val="32"/>
        </w:rPr>
        <w:t>应当充分说明前述人员成为激励对象的必要性、合理性。</w:t>
      </w:r>
    </w:p>
    <w:p w14:paraId="63F2D4A4" w14:textId="77777777" w:rsidR="000C29B8" w:rsidRDefault="00000000">
      <w:pPr>
        <w:autoSpaceDE w:val="0"/>
        <w:autoSpaceDN w:val="0"/>
        <w:adjustRightInd w:val="0"/>
        <w:spacing w:line="560" w:lineRule="exact"/>
        <w:ind w:firstLineChars="200" w:firstLine="640"/>
        <w:jc w:val="left"/>
        <w:rPr>
          <w:rFonts w:ascii="仿宋_GB2312" w:eastAsia="仿宋_GB2312" w:hAnsi="Calibri" w:cs="仿宋_GB2312"/>
          <w:kern w:val="0"/>
          <w:sz w:val="32"/>
          <w:szCs w:val="32"/>
        </w:rPr>
      </w:pPr>
      <w:r>
        <w:rPr>
          <w:rFonts w:ascii="仿宋_GB2312" w:eastAsia="仿宋_GB2312" w:hAnsi="Calibri" w:cs="仿宋_GB2312" w:hint="eastAsia"/>
          <w:kern w:val="0"/>
          <w:sz w:val="32"/>
          <w:szCs w:val="32"/>
        </w:rPr>
        <w:t>激励对象不得具有《上市公司股权激励管理办法》第八</w:t>
      </w:r>
      <w:r>
        <w:rPr>
          <w:rFonts w:ascii="仿宋_GB2312" w:eastAsia="仿宋_GB2312" w:hAnsi="Calibri" w:cs="仿宋_GB2312" w:hint="eastAsia"/>
          <w:kern w:val="0"/>
          <w:sz w:val="32"/>
          <w:szCs w:val="32"/>
        </w:rPr>
        <w:lastRenderedPageBreak/>
        <w:t>条第二款第一项至第六项规定的情形。</w:t>
      </w:r>
    </w:p>
    <w:p w14:paraId="75D474C9" w14:textId="77777777" w:rsidR="000C29B8" w:rsidRDefault="00000000">
      <w:pPr>
        <w:numPr>
          <w:ilvl w:val="2"/>
          <w:numId w:val="43"/>
        </w:numPr>
        <w:snapToGrid w:val="0"/>
        <w:spacing w:line="560" w:lineRule="exact"/>
        <w:ind w:left="0" w:firstLineChars="200" w:firstLine="640"/>
        <w:rPr>
          <w:rFonts w:ascii="仿宋_GB2312" w:eastAsia="仿宋_GB2312" w:hAnsi="Calibri" w:cs="仿宋_GB2312"/>
          <w:kern w:val="0"/>
          <w:sz w:val="32"/>
          <w:szCs w:val="32"/>
        </w:rPr>
      </w:pPr>
      <w:r>
        <w:rPr>
          <w:rFonts w:ascii="仿宋_GB2312" w:eastAsia="仿宋_GB2312" w:hAnsi="Calibri" w:cs="仿宋_GB2312" w:hint="eastAsia"/>
          <w:kern w:val="0"/>
          <w:sz w:val="32"/>
          <w:szCs w:val="32"/>
        </w:rPr>
        <w:t>上市公司授予激励对象限制性股票，包括下列类型：</w:t>
      </w:r>
    </w:p>
    <w:p w14:paraId="729141B8" w14:textId="77777777" w:rsidR="000C29B8" w:rsidRDefault="00000000">
      <w:pPr>
        <w:snapToGrid w:val="0"/>
        <w:spacing w:line="560" w:lineRule="exact"/>
        <w:ind w:firstLineChars="200" w:firstLine="640"/>
        <w:rPr>
          <w:rFonts w:ascii="仿宋_GB2312" w:eastAsia="仿宋_GB2312" w:hAnsi="Calibri" w:cs="仿宋_GB2312"/>
          <w:kern w:val="0"/>
          <w:sz w:val="32"/>
          <w:szCs w:val="32"/>
        </w:rPr>
      </w:pPr>
      <w:r>
        <w:rPr>
          <w:rFonts w:ascii="仿宋_GB2312" w:eastAsia="仿宋_GB2312" w:hAnsi="Calibri" w:cs="仿宋_GB2312" w:hint="eastAsia"/>
          <w:kern w:val="0"/>
          <w:sz w:val="32"/>
          <w:szCs w:val="32"/>
        </w:rPr>
        <w:t>（一）激励对象按照股权激励计划规定的条件，获得的转让等部分权利受到限制的本公司股票；</w:t>
      </w:r>
    </w:p>
    <w:p w14:paraId="4993360A" w14:textId="77777777" w:rsidR="000C29B8" w:rsidRDefault="00000000">
      <w:pPr>
        <w:snapToGrid w:val="0"/>
        <w:spacing w:line="560" w:lineRule="exact"/>
        <w:ind w:firstLineChars="200" w:firstLine="640"/>
        <w:rPr>
          <w:rFonts w:ascii="仿宋_GB2312" w:eastAsia="仿宋_GB2312" w:hAnsi="Calibri" w:cs="仿宋_GB2312"/>
          <w:kern w:val="0"/>
          <w:sz w:val="32"/>
          <w:szCs w:val="32"/>
        </w:rPr>
      </w:pPr>
      <w:r>
        <w:rPr>
          <w:rFonts w:ascii="仿宋_GB2312" w:eastAsia="仿宋_GB2312" w:hAnsi="Calibri" w:cs="仿宋_GB2312" w:hint="eastAsia"/>
          <w:kern w:val="0"/>
          <w:sz w:val="32"/>
          <w:szCs w:val="32"/>
        </w:rPr>
        <w:t>（二）符合股权激励计划授予条件的激励对象，在满足相应获益条件后分次获得并登记的本公司股票。</w:t>
      </w:r>
    </w:p>
    <w:p w14:paraId="2F8D03C3" w14:textId="77777777" w:rsidR="000C29B8" w:rsidRDefault="00000000">
      <w:pPr>
        <w:numPr>
          <w:ilvl w:val="2"/>
          <w:numId w:val="43"/>
        </w:numPr>
        <w:snapToGrid w:val="0"/>
        <w:spacing w:line="560" w:lineRule="exact"/>
        <w:ind w:left="0" w:firstLineChars="200" w:firstLine="640"/>
        <w:rPr>
          <w:rFonts w:ascii="仿宋_GB2312" w:eastAsia="仿宋_GB2312" w:hAnsi="Calibri" w:cs="仿宋_GB2312"/>
          <w:kern w:val="0"/>
          <w:sz w:val="32"/>
          <w:szCs w:val="32"/>
        </w:rPr>
      </w:pPr>
      <w:r>
        <w:rPr>
          <w:rFonts w:ascii="仿宋_GB2312" w:eastAsia="仿宋_GB2312" w:hAnsi="Calibri" w:cs="仿宋_GB2312" w:hint="eastAsia"/>
          <w:kern w:val="0"/>
          <w:sz w:val="32"/>
          <w:szCs w:val="32"/>
        </w:rPr>
        <w:t>上市公司授予激励对象限制性股票的价格，低于股权激励计划草案公布前</w:t>
      </w:r>
      <w:r>
        <w:rPr>
          <w:rFonts w:ascii="仿宋_GB2312" w:eastAsia="仿宋_GB2312" w:hAnsi="Calibri" w:cs="TimesNewRomanPSMT" w:hint="eastAsia"/>
          <w:kern w:val="0"/>
          <w:sz w:val="32"/>
          <w:szCs w:val="32"/>
        </w:rPr>
        <w:t xml:space="preserve">1 </w:t>
      </w:r>
      <w:proofErr w:type="gramStart"/>
      <w:r>
        <w:rPr>
          <w:rFonts w:ascii="仿宋_GB2312" w:eastAsia="仿宋_GB2312" w:hAnsi="Calibri" w:cs="仿宋_GB2312" w:hint="eastAsia"/>
          <w:kern w:val="0"/>
          <w:sz w:val="32"/>
          <w:szCs w:val="32"/>
        </w:rPr>
        <w:t>个</w:t>
      </w:r>
      <w:proofErr w:type="gramEnd"/>
      <w:r>
        <w:rPr>
          <w:rFonts w:ascii="仿宋_GB2312" w:eastAsia="仿宋_GB2312" w:hAnsi="Calibri" w:cs="仿宋_GB2312" w:hint="eastAsia"/>
          <w:kern w:val="0"/>
          <w:sz w:val="32"/>
          <w:szCs w:val="32"/>
        </w:rPr>
        <w:t>交易日、</w:t>
      </w:r>
      <w:r>
        <w:rPr>
          <w:rFonts w:ascii="仿宋_GB2312" w:eastAsia="仿宋_GB2312" w:hAnsi="Calibri" w:cs="TimesNewRomanPSMT" w:hint="eastAsia"/>
          <w:kern w:val="0"/>
          <w:sz w:val="32"/>
          <w:szCs w:val="32"/>
        </w:rPr>
        <w:t xml:space="preserve">20 </w:t>
      </w:r>
      <w:proofErr w:type="gramStart"/>
      <w:r>
        <w:rPr>
          <w:rFonts w:ascii="仿宋_GB2312" w:eastAsia="仿宋_GB2312" w:hAnsi="Calibri" w:cs="仿宋_GB2312" w:hint="eastAsia"/>
          <w:kern w:val="0"/>
          <w:sz w:val="32"/>
          <w:szCs w:val="32"/>
        </w:rPr>
        <w:t>个</w:t>
      </w:r>
      <w:proofErr w:type="gramEnd"/>
      <w:r>
        <w:rPr>
          <w:rFonts w:ascii="仿宋_GB2312" w:eastAsia="仿宋_GB2312" w:hAnsi="Calibri" w:cs="仿宋_GB2312" w:hint="eastAsia"/>
          <w:kern w:val="0"/>
          <w:sz w:val="32"/>
          <w:szCs w:val="32"/>
        </w:rPr>
        <w:t>交易日、</w:t>
      </w:r>
      <w:r>
        <w:rPr>
          <w:rFonts w:ascii="仿宋_GB2312" w:eastAsia="仿宋_GB2312" w:hAnsi="Calibri" w:cs="TimesNewRomanPSMT" w:hint="eastAsia"/>
          <w:kern w:val="0"/>
          <w:sz w:val="32"/>
          <w:szCs w:val="32"/>
        </w:rPr>
        <w:t xml:space="preserve">60 </w:t>
      </w:r>
      <w:proofErr w:type="gramStart"/>
      <w:r>
        <w:rPr>
          <w:rFonts w:ascii="仿宋_GB2312" w:eastAsia="仿宋_GB2312" w:hAnsi="Calibri" w:cs="仿宋_GB2312" w:hint="eastAsia"/>
          <w:kern w:val="0"/>
          <w:sz w:val="32"/>
          <w:szCs w:val="32"/>
        </w:rPr>
        <w:t>个</w:t>
      </w:r>
      <w:proofErr w:type="gramEnd"/>
      <w:r>
        <w:rPr>
          <w:rFonts w:ascii="仿宋_GB2312" w:eastAsia="仿宋_GB2312" w:hAnsi="Calibri" w:cs="仿宋_GB2312" w:hint="eastAsia"/>
          <w:kern w:val="0"/>
          <w:sz w:val="32"/>
          <w:szCs w:val="32"/>
        </w:rPr>
        <w:t>交易日或者</w:t>
      </w:r>
      <w:r>
        <w:rPr>
          <w:rFonts w:ascii="仿宋_GB2312" w:eastAsia="仿宋_GB2312" w:hAnsi="Calibri" w:cs="TimesNewRomanPSMT" w:hint="eastAsia"/>
          <w:kern w:val="0"/>
          <w:sz w:val="32"/>
          <w:szCs w:val="32"/>
        </w:rPr>
        <w:t xml:space="preserve">120 </w:t>
      </w:r>
      <w:proofErr w:type="gramStart"/>
      <w:r>
        <w:rPr>
          <w:rFonts w:ascii="仿宋_GB2312" w:eastAsia="仿宋_GB2312" w:hAnsi="Calibri" w:cs="仿宋_GB2312" w:hint="eastAsia"/>
          <w:kern w:val="0"/>
          <w:sz w:val="32"/>
          <w:szCs w:val="32"/>
        </w:rPr>
        <w:t>个</w:t>
      </w:r>
      <w:proofErr w:type="gramEnd"/>
      <w:r>
        <w:rPr>
          <w:rFonts w:ascii="仿宋_GB2312" w:eastAsia="仿宋_GB2312" w:hAnsi="Calibri" w:cs="仿宋_GB2312" w:hint="eastAsia"/>
          <w:kern w:val="0"/>
          <w:sz w:val="32"/>
          <w:szCs w:val="32"/>
        </w:rPr>
        <w:t>交易日公司股票交易均价的</w:t>
      </w:r>
      <w:r>
        <w:rPr>
          <w:rFonts w:ascii="仿宋_GB2312" w:eastAsia="仿宋_GB2312" w:hAnsi="Calibri" w:cs="TimesNewRomanPSMT" w:hint="eastAsia"/>
          <w:kern w:val="0"/>
          <w:sz w:val="32"/>
          <w:szCs w:val="32"/>
        </w:rPr>
        <w:t>50%</w:t>
      </w:r>
      <w:r>
        <w:rPr>
          <w:rFonts w:ascii="仿宋_GB2312" w:eastAsia="仿宋_GB2312" w:hAnsi="Calibri" w:cs="仿宋_GB2312" w:hint="eastAsia"/>
          <w:kern w:val="0"/>
          <w:sz w:val="32"/>
          <w:szCs w:val="32"/>
        </w:rPr>
        <w:t>的，应当说明定价依据及定价方式。</w:t>
      </w:r>
    </w:p>
    <w:p w14:paraId="4FD6196B" w14:textId="77777777" w:rsidR="000C29B8" w:rsidRDefault="00000000">
      <w:pPr>
        <w:autoSpaceDE w:val="0"/>
        <w:autoSpaceDN w:val="0"/>
        <w:adjustRightInd w:val="0"/>
        <w:spacing w:line="560" w:lineRule="exact"/>
        <w:ind w:firstLineChars="200" w:firstLine="640"/>
        <w:rPr>
          <w:rFonts w:ascii="仿宋_GB2312" w:eastAsia="仿宋_GB2312" w:hAnsi="Calibri" w:cs="仿宋_GB2312"/>
          <w:kern w:val="0"/>
          <w:sz w:val="32"/>
          <w:szCs w:val="32"/>
        </w:rPr>
      </w:pPr>
      <w:r>
        <w:rPr>
          <w:rFonts w:ascii="仿宋_GB2312" w:eastAsia="仿宋_GB2312" w:hAnsi="Calibri" w:cs="仿宋_GB2312" w:hint="eastAsia"/>
          <w:kern w:val="0"/>
          <w:sz w:val="32"/>
          <w:szCs w:val="32"/>
        </w:rPr>
        <w:t>出现前款规定情形的，上市公司应当聘请独立财务顾问，对股权激励计划的可行性、相关定价依据和定价方法的合理性、是否有利于公司持续发展、是否损害股东利益等发表意见。</w:t>
      </w:r>
    </w:p>
    <w:p w14:paraId="639A05F2" w14:textId="77777777" w:rsidR="000C29B8" w:rsidRDefault="00000000">
      <w:pPr>
        <w:numPr>
          <w:ilvl w:val="2"/>
          <w:numId w:val="43"/>
        </w:numPr>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上市公司授予激励对象第10.5条第二项所述限制性股票，应当就激励对象分次获益设立条件，并在满足各次获益条件时分批进行股份登记。当次获益条件不满足的，不得进行股份登记。</w:t>
      </w:r>
    </w:p>
    <w:p w14:paraId="26E2FA38" w14:textId="77777777" w:rsidR="000C29B8" w:rsidRDefault="00000000">
      <w:pPr>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公司应当在股权激励计划中明确披露分次授予权益的数量、获益条件、股份授予或者登记时间及相关限售安排。</w:t>
      </w:r>
    </w:p>
    <w:p w14:paraId="6CA5FFFF" w14:textId="77777777" w:rsidR="000C29B8" w:rsidRDefault="00000000">
      <w:pPr>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获益条件包含12个月以上的任职期限的，实际授予的权益进行登记后，可不再设置限售期。</w:t>
      </w:r>
    </w:p>
    <w:p w14:paraId="375AC8AE" w14:textId="77777777" w:rsidR="000C29B8" w:rsidRDefault="00000000">
      <w:pPr>
        <w:numPr>
          <w:ilvl w:val="2"/>
          <w:numId w:val="43"/>
        </w:numPr>
        <w:snapToGrid w:val="0"/>
        <w:spacing w:line="560" w:lineRule="exact"/>
        <w:ind w:left="0" w:firstLineChars="200" w:firstLine="640"/>
        <w:rPr>
          <w:rFonts w:ascii="仿宋_GB2312" w:eastAsia="仿宋_GB2312" w:hAnsi="Calibri" w:cs="仿宋_GB2312"/>
          <w:kern w:val="0"/>
          <w:sz w:val="32"/>
          <w:szCs w:val="32"/>
        </w:rPr>
      </w:pPr>
      <w:r>
        <w:rPr>
          <w:rFonts w:ascii="仿宋_GB2312" w:eastAsia="仿宋_GB2312" w:hAnsi="Calibri" w:cs="仿宋_GB2312" w:hint="eastAsia"/>
          <w:kern w:val="0"/>
          <w:sz w:val="32"/>
          <w:szCs w:val="32"/>
        </w:rPr>
        <w:t>上市公司可以同时实施多项股权激励计划。上市公司全部在有效期内的股权激励计划所涉及的标的股票总数，</w:t>
      </w:r>
      <w:r>
        <w:rPr>
          <w:rFonts w:ascii="仿宋_GB2312" w:eastAsia="仿宋_GB2312" w:hAnsi="Calibri" w:cs="仿宋_GB2312" w:hint="eastAsia"/>
          <w:kern w:val="0"/>
          <w:sz w:val="32"/>
          <w:szCs w:val="32"/>
        </w:rPr>
        <w:lastRenderedPageBreak/>
        <w:t>累计不得超过公司股本总额的</w:t>
      </w:r>
      <w:r>
        <w:rPr>
          <w:rFonts w:ascii="仿宋_GB2312" w:eastAsia="仿宋_GB2312" w:hAnsi="Calibri" w:cs="TimesNewRomanPSMT" w:hint="eastAsia"/>
          <w:kern w:val="0"/>
          <w:sz w:val="32"/>
          <w:szCs w:val="32"/>
        </w:rPr>
        <w:t>20%</w:t>
      </w:r>
      <w:r>
        <w:rPr>
          <w:rFonts w:ascii="仿宋_GB2312" w:eastAsia="仿宋_GB2312" w:hAnsi="Calibri" w:cs="仿宋_GB2312" w:hint="eastAsia"/>
          <w:kern w:val="0"/>
          <w:sz w:val="32"/>
          <w:szCs w:val="32"/>
        </w:rPr>
        <w:t>。</w:t>
      </w:r>
    </w:p>
    <w:p w14:paraId="30D19C8B" w14:textId="77777777" w:rsidR="000C29B8" w:rsidRDefault="000C29B8">
      <w:pPr>
        <w:spacing w:line="560" w:lineRule="exact"/>
        <w:ind w:firstLineChars="200" w:firstLine="640"/>
        <w:rPr>
          <w:sz w:val="32"/>
          <w:szCs w:val="32"/>
        </w:rPr>
      </w:pPr>
    </w:p>
    <w:p w14:paraId="746F5876" w14:textId="77777777" w:rsidR="000C29B8" w:rsidRDefault="00000000">
      <w:pPr>
        <w:pStyle w:val="7"/>
        <w:numPr>
          <w:ilvl w:val="0"/>
          <w:numId w:val="1"/>
        </w:numPr>
        <w:ind w:left="0" w:firstLine="643"/>
        <w:rPr>
          <w:b/>
        </w:rPr>
      </w:pPr>
      <w:bookmarkStart w:id="613" w:name="_Toc21884"/>
      <w:r>
        <w:rPr>
          <w:rFonts w:hint="eastAsia"/>
          <w:b/>
        </w:rPr>
        <w:t>重大资产重组</w:t>
      </w:r>
      <w:bookmarkEnd w:id="613"/>
    </w:p>
    <w:p w14:paraId="6EA18A25" w14:textId="77777777" w:rsidR="000C29B8" w:rsidRDefault="00000000">
      <w:pPr>
        <w:numPr>
          <w:ilvl w:val="2"/>
          <w:numId w:val="44"/>
        </w:numPr>
        <w:tabs>
          <w:tab w:val="left" w:pos="0"/>
          <w:tab w:val="left" w:pos="1701"/>
        </w:tabs>
        <w:snapToGrid w:val="0"/>
        <w:spacing w:line="560" w:lineRule="exact"/>
        <w:ind w:left="0" w:firstLineChars="200" w:firstLine="640"/>
        <w:rPr>
          <w:rFonts w:ascii="仿宋_GB2312" w:eastAsia="仿宋_GB2312" w:hAnsi="Calibri" w:cs="仿宋_GB2312"/>
          <w:kern w:val="0"/>
          <w:sz w:val="32"/>
          <w:szCs w:val="32"/>
        </w:rPr>
      </w:pPr>
      <w:r>
        <w:rPr>
          <w:rFonts w:ascii="仿宋_GB2312" w:eastAsia="仿宋_GB2312" w:hAnsi="Calibri" w:cs="仿宋_GB2312" w:hint="eastAsia"/>
          <w:kern w:val="0"/>
          <w:sz w:val="32"/>
          <w:szCs w:val="32"/>
        </w:rPr>
        <w:t>上市公司应当依照《上市公司重大资产重组管理办法》（以下简称《重组办法》）及中国证监会其他相关规定、本规则及本所其他规定，实施重大资产重组。</w:t>
      </w:r>
    </w:p>
    <w:p w14:paraId="463DA135" w14:textId="77777777" w:rsidR="000C29B8" w:rsidRDefault="00000000">
      <w:pPr>
        <w:numPr>
          <w:ilvl w:val="2"/>
          <w:numId w:val="44"/>
        </w:numPr>
        <w:tabs>
          <w:tab w:val="left" w:pos="0"/>
          <w:tab w:val="left" w:pos="1701"/>
        </w:tabs>
        <w:snapToGrid w:val="0"/>
        <w:spacing w:line="560" w:lineRule="exact"/>
        <w:ind w:left="0" w:firstLineChars="200" w:firstLine="640"/>
        <w:rPr>
          <w:rFonts w:ascii="仿宋_GB2312" w:eastAsia="仿宋_GB2312" w:hAnsi="Calibri" w:cs="仿宋_GB2312"/>
          <w:kern w:val="0"/>
          <w:sz w:val="32"/>
          <w:szCs w:val="32"/>
        </w:rPr>
      </w:pPr>
      <w:r>
        <w:rPr>
          <w:rFonts w:ascii="仿宋_GB2312" w:eastAsia="仿宋_GB2312" w:hAnsi="Calibri" w:cs="仿宋_GB2312" w:hint="eastAsia"/>
          <w:kern w:val="0"/>
          <w:sz w:val="32"/>
          <w:szCs w:val="32"/>
        </w:rPr>
        <w:t>上市公司重大资产重组、发行股份购买资产（以下统称重大资产重组）的，标的资产应当与上市公司主营业务具有协同效应，有利于促进主营业务整合升级和提高上市公司持续经营能力。</w:t>
      </w:r>
    </w:p>
    <w:p w14:paraId="455E3A28" w14:textId="77777777" w:rsidR="000C29B8" w:rsidRDefault="00000000">
      <w:pPr>
        <w:numPr>
          <w:ilvl w:val="2"/>
          <w:numId w:val="44"/>
        </w:numPr>
        <w:tabs>
          <w:tab w:val="left" w:pos="0"/>
          <w:tab w:val="left" w:pos="1701"/>
        </w:tabs>
        <w:snapToGrid w:val="0"/>
        <w:spacing w:line="560" w:lineRule="exact"/>
        <w:ind w:left="0" w:firstLineChars="200" w:firstLine="640"/>
        <w:rPr>
          <w:rFonts w:ascii="仿宋_GB2312" w:eastAsia="仿宋_GB2312" w:hAnsi="Calibri" w:cs="仿宋_GB2312"/>
          <w:kern w:val="0"/>
          <w:sz w:val="32"/>
          <w:szCs w:val="32"/>
        </w:rPr>
      </w:pPr>
      <w:r>
        <w:rPr>
          <w:rFonts w:ascii="仿宋_GB2312" w:eastAsia="仿宋_GB2312" w:hAnsi="Calibri" w:cs="仿宋_GB2312" w:hint="eastAsia"/>
          <w:kern w:val="0"/>
          <w:sz w:val="32"/>
          <w:szCs w:val="32"/>
        </w:rPr>
        <w:t>上市公司实施发行股份购买资产、合并、分立等涉及发行股票的并购重组，由本所审核，并经中国证监会注册后方可实施。</w:t>
      </w:r>
    </w:p>
    <w:p w14:paraId="4AE9EA72" w14:textId="77777777" w:rsidR="000C29B8" w:rsidRDefault="00000000">
      <w:pPr>
        <w:tabs>
          <w:tab w:val="left" w:pos="1418"/>
          <w:tab w:val="left" w:pos="1701"/>
        </w:tabs>
        <w:snapToGrid w:val="0"/>
        <w:spacing w:line="560" w:lineRule="exact"/>
        <w:rPr>
          <w:rFonts w:ascii="仿宋_GB2312" w:eastAsia="仿宋_GB2312" w:hAnsi="Calibri" w:cs="仿宋_GB2312"/>
          <w:kern w:val="0"/>
          <w:sz w:val="32"/>
          <w:szCs w:val="32"/>
        </w:rPr>
      </w:pPr>
      <w:r>
        <w:rPr>
          <w:rFonts w:ascii="仿宋_GB2312" w:eastAsia="仿宋_GB2312" w:hAnsi="Calibri" w:cs="仿宋_GB2312" w:hint="eastAsia"/>
          <w:kern w:val="0"/>
          <w:sz w:val="32"/>
          <w:szCs w:val="32"/>
        </w:rPr>
        <w:t xml:space="preserve">    构成《重组办法》第十三条规定交易情形，但不涉及发行股票的，参照适用前款规定。</w:t>
      </w:r>
    </w:p>
    <w:p w14:paraId="0AD3F00F" w14:textId="77777777" w:rsidR="000C29B8" w:rsidRDefault="00000000">
      <w:pPr>
        <w:numPr>
          <w:ilvl w:val="2"/>
          <w:numId w:val="44"/>
        </w:numPr>
        <w:tabs>
          <w:tab w:val="left" w:pos="0"/>
          <w:tab w:val="left" w:pos="1701"/>
        </w:tabs>
        <w:snapToGrid w:val="0"/>
        <w:spacing w:line="560" w:lineRule="exact"/>
        <w:ind w:left="0" w:firstLineChars="200" w:firstLine="640"/>
        <w:rPr>
          <w:rFonts w:ascii="仿宋_GB2312" w:eastAsia="仿宋_GB2312" w:hAnsi="Calibri" w:cs="仿宋_GB2312"/>
          <w:kern w:val="0"/>
          <w:sz w:val="32"/>
          <w:szCs w:val="32"/>
        </w:rPr>
      </w:pPr>
      <w:r>
        <w:rPr>
          <w:rFonts w:ascii="仿宋_GB2312" w:eastAsia="仿宋_GB2312" w:hAnsi="Calibri" w:cs="仿宋_GB2312" w:hint="eastAsia"/>
          <w:kern w:val="0"/>
          <w:sz w:val="32"/>
          <w:szCs w:val="32"/>
        </w:rPr>
        <w:t>上市公司应当确保能够对购买的标的资产实施有效控制，保证标的资产合</w:t>
      </w:r>
      <w:proofErr w:type="gramStart"/>
      <w:r>
        <w:rPr>
          <w:rFonts w:ascii="仿宋_GB2312" w:eastAsia="仿宋_GB2312" w:hAnsi="Calibri" w:cs="仿宋_GB2312" w:hint="eastAsia"/>
          <w:kern w:val="0"/>
          <w:sz w:val="32"/>
          <w:szCs w:val="32"/>
        </w:rPr>
        <w:t>规</w:t>
      </w:r>
      <w:proofErr w:type="gramEnd"/>
      <w:r>
        <w:rPr>
          <w:rFonts w:ascii="仿宋_GB2312" w:eastAsia="仿宋_GB2312" w:hAnsi="Calibri" w:cs="仿宋_GB2312" w:hint="eastAsia"/>
          <w:kern w:val="0"/>
          <w:sz w:val="32"/>
          <w:szCs w:val="32"/>
        </w:rPr>
        <w:t>运行，督促重大资产重组交易对方履行承诺。</w:t>
      </w:r>
    </w:p>
    <w:p w14:paraId="7FAD1E5A" w14:textId="77777777" w:rsidR="000C29B8" w:rsidRDefault="00000000">
      <w:pPr>
        <w:numPr>
          <w:ilvl w:val="2"/>
          <w:numId w:val="44"/>
        </w:numPr>
        <w:tabs>
          <w:tab w:val="left" w:pos="1701"/>
        </w:tabs>
        <w:snapToGrid w:val="0"/>
        <w:spacing w:line="560" w:lineRule="exact"/>
        <w:ind w:left="0" w:firstLineChars="200" w:firstLine="640"/>
        <w:rPr>
          <w:rFonts w:ascii="仿宋_GB2312" w:eastAsia="仿宋_GB2312" w:hAnsi="Calibri" w:cs="仿宋_GB2312"/>
          <w:kern w:val="0"/>
          <w:sz w:val="32"/>
          <w:szCs w:val="32"/>
        </w:rPr>
      </w:pPr>
      <w:r>
        <w:rPr>
          <w:rFonts w:ascii="仿宋_GB2312" w:eastAsia="仿宋_GB2312" w:hAnsi="Calibri" w:cs="仿宋_GB2312" w:hint="eastAsia"/>
          <w:kern w:val="0"/>
          <w:sz w:val="32"/>
          <w:szCs w:val="32"/>
        </w:rPr>
        <w:t>上市公司实施重大资产重组的，应当按照《企业会计准则》的有关规定确认商誉，并结合宏观环境、行业环境、实际经营状况及未来经营规划等因素，谨慎实施后续计量、列报和披露，及时进行减值测试，足额计提减值损失，并披露能够公允反映商誉价值的相关信息。</w:t>
      </w:r>
    </w:p>
    <w:p w14:paraId="2F7257A9" w14:textId="77777777" w:rsidR="000C29B8" w:rsidRDefault="00000000">
      <w:pPr>
        <w:numPr>
          <w:ilvl w:val="2"/>
          <w:numId w:val="44"/>
        </w:numPr>
        <w:tabs>
          <w:tab w:val="left" w:pos="1701"/>
        </w:tabs>
        <w:snapToGrid w:val="0"/>
        <w:spacing w:line="560" w:lineRule="exact"/>
        <w:ind w:left="0" w:firstLineChars="200" w:firstLine="640"/>
        <w:rPr>
          <w:rFonts w:ascii="仿宋_GB2312" w:eastAsia="仿宋_GB2312" w:hAnsi="Calibri" w:cs="仿宋_GB2312"/>
          <w:kern w:val="0"/>
          <w:sz w:val="32"/>
          <w:szCs w:val="32"/>
        </w:rPr>
      </w:pPr>
      <w:r>
        <w:rPr>
          <w:rFonts w:ascii="仿宋_GB2312" w:eastAsia="仿宋_GB2312" w:hAnsi="Calibri" w:cs="仿宋_GB2312" w:hint="eastAsia"/>
          <w:kern w:val="0"/>
          <w:sz w:val="32"/>
          <w:szCs w:val="32"/>
        </w:rPr>
        <w:t>上市公司应当聘请独立财务顾问就重大资产重组</w:t>
      </w:r>
      <w:r>
        <w:rPr>
          <w:rFonts w:ascii="仿宋_GB2312" w:eastAsia="仿宋_GB2312" w:hAnsi="Calibri" w:cs="仿宋_GB2312" w:hint="eastAsia"/>
          <w:kern w:val="0"/>
          <w:sz w:val="32"/>
          <w:szCs w:val="32"/>
        </w:rPr>
        <w:lastRenderedPageBreak/>
        <w:t>出具意见。</w:t>
      </w:r>
    </w:p>
    <w:p w14:paraId="5099B6B3" w14:textId="77777777" w:rsidR="000C29B8" w:rsidRDefault="00000000">
      <w:pPr>
        <w:tabs>
          <w:tab w:val="left" w:pos="1701"/>
        </w:tabs>
        <w:snapToGrid w:val="0"/>
        <w:spacing w:line="560" w:lineRule="exact"/>
        <w:ind w:firstLineChars="200" w:firstLine="640"/>
        <w:rPr>
          <w:rFonts w:ascii="仿宋_GB2312" w:eastAsia="仿宋_GB2312" w:hAnsi="Calibri" w:cs="仿宋_GB2312"/>
          <w:kern w:val="0"/>
          <w:sz w:val="32"/>
          <w:szCs w:val="32"/>
        </w:rPr>
      </w:pPr>
      <w:r>
        <w:rPr>
          <w:rFonts w:ascii="仿宋_GB2312" w:eastAsia="仿宋_GB2312" w:hAnsi="Calibri" w:cs="仿宋_GB2312" w:hint="eastAsia"/>
          <w:kern w:val="0"/>
          <w:sz w:val="32"/>
          <w:szCs w:val="32"/>
        </w:rPr>
        <w:t>独立财务顾问应当就重大资产重组的协同性和上市公司控制标的资产的能力发表明确意见，并在持续督导期间督促上市公司有效控制并整合标的资产。</w:t>
      </w:r>
    </w:p>
    <w:p w14:paraId="3402D5BB" w14:textId="77777777" w:rsidR="000C29B8" w:rsidRDefault="000C29B8">
      <w:pPr>
        <w:tabs>
          <w:tab w:val="left" w:pos="1560"/>
        </w:tabs>
        <w:autoSpaceDE w:val="0"/>
        <w:autoSpaceDN w:val="0"/>
        <w:adjustRightInd w:val="0"/>
        <w:snapToGrid w:val="0"/>
        <w:spacing w:line="560" w:lineRule="exact"/>
        <w:ind w:firstLineChars="200" w:firstLine="643"/>
        <w:rPr>
          <w:rFonts w:ascii="黑体" w:eastAsia="黑体" w:hAnsi="Arial Unicode MS" w:cs="Arial Unicode MS"/>
          <w:b/>
          <w:bCs/>
          <w:kern w:val="44"/>
          <w:sz w:val="32"/>
          <w:szCs w:val="32"/>
        </w:rPr>
      </w:pPr>
    </w:p>
    <w:p w14:paraId="6BCE4591" w14:textId="77777777" w:rsidR="000C29B8" w:rsidRDefault="00000000">
      <w:pPr>
        <w:pStyle w:val="7"/>
        <w:numPr>
          <w:ilvl w:val="0"/>
          <w:numId w:val="1"/>
        </w:numPr>
        <w:ind w:left="0" w:firstLine="643"/>
        <w:rPr>
          <w:b/>
        </w:rPr>
      </w:pPr>
      <w:bookmarkStart w:id="614" w:name="_Toc32517"/>
      <w:r>
        <w:rPr>
          <w:rFonts w:hint="eastAsia"/>
          <w:b/>
        </w:rPr>
        <w:t>退市与风险警示</w:t>
      </w:r>
      <w:bookmarkEnd w:id="614"/>
    </w:p>
    <w:p w14:paraId="634FB553" w14:textId="77777777" w:rsidR="000C29B8" w:rsidRDefault="00000000">
      <w:pPr>
        <w:pStyle w:val="23"/>
      </w:pPr>
      <w:bookmarkStart w:id="615" w:name="_Toc4188"/>
      <w:r>
        <w:rPr>
          <w:rFonts w:hint="eastAsia"/>
        </w:rPr>
        <w:t>第一节  一般规定</w:t>
      </w:r>
      <w:bookmarkEnd w:id="615"/>
    </w:p>
    <w:p w14:paraId="03EC0F7E" w14:textId="77777777" w:rsidR="000C29B8" w:rsidRDefault="00000000">
      <w:pPr>
        <w:numPr>
          <w:ilvl w:val="2"/>
          <w:numId w:val="45"/>
        </w:numPr>
        <w:tabs>
          <w:tab w:val="left" w:pos="1560"/>
          <w:tab w:val="left" w:pos="1843"/>
          <w:tab w:val="left" w:pos="1985"/>
          <w:tab w:val="left" w:pos="2127"/>
        </w:tabs>
        <w:snapToGrid w:val="0"/>
        <w:spacing w:line="560" w:lineRule="exact"/>
        <w:ind w:left="0" w:firstLineChars="200" w:firstLine="640"/>
        <w:rPr>
          <w:rFonts w:ascii="仿宋_GB2312" w:eastAsia="仿宋_GB2312"/>
          <w:color w:val="000000"/>
          <w:sz w:val="30"/>
          <w:szCs w:val="30"/>
        </w:rPr>
      </w:pPr>
      <w:r>
        <w:rPr>
          <w:rFonts w:ascii="仿宋_GB2312" w:eastAsia="仿宋_GB2312" w:hAnsi="黑体" w:hint="eastAsia"/>
          <w:sz w:val="32"/>
          <w:szCs w:val="32"/>
        </w:rPr>
        <w:t>上市公司触及本规则规定的退市情形，导致其股票存在被终止上市风险的，本所对该公司股票启动退市程序。</w:t>
      </w:r>
    </w:p>
    <w:p w14:paraId="121AFC30" w14:textId="77777777" w:rsidR="000C29B8" w:rsidRDefault="00000000">
      <w:pPr>
        <w:numPr>
          <w:ilvl w:val="2"/>
          <w:numId w:val="45"/>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上市公司出现财务状况异常情况或者其他异常情况，导致其股票存在被强制终止上市的风险，或者投资者难以判断公司前景，投资者权益可能受到损害，存在其他重大风险的，本所对该公司股票实施风险警示。</w:t>
      </w:r>
    </w:p>
    <w:p w14:paraId="304985BF" w14:textId="77777777" w:rsidR="000C29B8" w:rsidRDefault="00000000">
      <w:pPr>
        <w:numPr>
          <w:ilvl w:val="2"/>
          <w:numId w:val="45"/>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风险警示分为警示存在强制终止上市风险的风险警示（以下简称退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警示）和警示存在其他重大风险的其他风险警示。</w:t>
      </w:r>
    </w:p>
    <w:p w14:paraId="0F9CAEBB" w14:textId="77777777" w:rsidR="000C29B8" w:rsidRDefault="00000000">
      <w:pPr>
        <w:numPr>
          <w:ilvl w:val="2"/>
          <w:numId w:val="45"/>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上市公司股票被实施退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警示的，在公司股票简称前冠以“</w:t>
      </w:r>
      <w:r>
        <w:rPr>
          <w:rFonts w:ascii="仿宋_GB2312" w:eastAsia="仿宋_GB2312" w:hAnsi="黑体"/>
          <w:sz w:val="32"/>
          <w:szCs w:val="32"/>
        </w:rPr>
        <w:t>*ST</w:t>
      </w:r>
      <w:r>
        <w:rPr>
          <w:rFonts w:ascii="仿宋_GB2312" w:eastAsia="仿宋_GB2312" w:hAnsi="黑体" w:hint="eastAsia"/>
          <w:sz w:val="32"/>
          <w:szCs w:val="32"/>
        </w:rPr>
        <w:t>”</w:t>
      </w:r>
      <w:r>
        <w:rPr>
          <w:rFonts w:ascii="仿宋_GB2312" w:eastAsia="仿宋_GB2312" w:hAnsi="黑体"/>
          <w:sz w:val="32"/>
          <w:szCs w:val="32"/>
        </w:rPr>
        <w:t>字样</w:t>
      </w:r>
      <w:r>
        <w:rPr>
          <w:rFonts w:ascii="仿宋_GB2312" w:eastAsia="仿宋_GB2312" w:hAnsi="黑体" w:hint="eastAsia"/>
          <w:sz w:val="32"/>
          <w:szCs w:val="32"/>
        </w:rPr>
        <w:t>；上市公司股票被实施其他风险警示的，在公司股票简称前冠以“ST”字样。</w:t>
      </w:r>
    </w:p>
    <w:p w14:paraId="08E7F435"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公司股票同时被实施退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警示和其他风险警示的，在公司股票简称前冠以“*ST”字样。</w:t>
      </w:r>
    </w:p>
    <w:p w14:paraId="4590588A" w14:textId="77777777" w:rsidR="000C29B8" w:rsidRDefault="00000000">
      <w:pPr>
        <w:tabs>
          <w:tab w:val="left" w:pos="1560"/>
          <w:tab w:val="left" w:pos="1843"/>
          <w:tab w:val="left" w:pos="1985"/>
          <w:tab w:val="left" w:pos="2127"/>
        </w:tabs>
        <w:snapToGrid w:val="0"/>
        <w:spacing w:line="560" w:lineRule="exact"/>
        <w:ind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上市公司股票被实施风险警示的，投资者当日通过竞价交易、大宗交易和盘后固定价格交易累计买入的单只风险警</w:t>
      </w:r>
      <w:r>
        <w:rPr>
          <w:rFonts w:ascii="仿宋_GB2312" w:eastAsia="仿宋_GB2312" w:hAnsi="Arial Unicode MS" w:cs="Arial Unicode MS" w:hint="eastAsia"/>
          <w:color w:val="000000"/>
          <w:sz w:val="32"/>
          <w:szCs w:val="32"/>
        </w:rPr>
        <w:lastRenderedPageBreak/>
        <w:t>示股票，数量不得超过50万股。投资者当日累计买入风险警示股票数量，按照该投资者以本人名义开立的证券账户与融资融券信用证券账户的买入量合并计算；投资者委托买入数量与当日已买入数量及已申报</w:t>
      </w:r>
      <w:proofErr w:type="gramStart"/>
      <w:r>
        <w:rPr>
          <w:rFonts w:ascii="仿宋_GB2312" w:eastAsia="仿宋_GB2312" w:hAnsi="Arial Unicode MS" w:cs="Arial Unicode MS" w:hint="eastAsia"/>
          <w:color w:val="000000"/>
          <w:sz w:val="32"/>
          <w:szCs w:val="32"/>
        </w:rPr>
        <w:t>买入但</w:t>
      </w:r>
      <w:proofErr w:type="gramEnd"/>
      <w:r>
        <w:rPr>
          <w:rFonts w:ascii="仿宋_GB2312" w:eastAsia="仿宋_GB2312" w:hAnsi="Arial Unicode MS" w:cs="Arial Unicode MS" w:hint="eastAsia"/>
          <w:color w:val="000000"/>
          <w:sz w:val="32"/>
          <w:szCs w:val="32"/>
        </w:rPr>
        <w:t>尚未成交、也未撤销的数量之和，不得超过50万股。上市公司回购股份、持股5%以上股东根据已披露的增</w:t>
      </w:r>
      <w:proofErr w:type="gramStart"/>
      <w:r>
        <w:rPr>
          <w:rFonts w:ascii="仿宋_GB2312" w:eastAsia="仿宋_GB2312" w:hAnsi="Arial Unicode MS" w:cs="Arial Unicode MS" w:hint="eastAsia"/>
          <w:color w:val="000000"/>
          <w:sz w:val="32"/>
          <w:szCs w:val="32"/>
        </w:rPr>
        <w:t>持计划增</w:t>
      </w:r>
      <w:proofErr w:type="gramEnd"/>
      <w:r>
        <w:rPr>
          <w:rFonts w:ascii="仿宋_GB2312" w:eastAsia="仿宋_GB2312" w:hAnsi="Arial Unicode MS" w:cs="Arial Unicode MS" w:hint="eastAsia"/>
          <w:color w:val="000000"/>
          <w:sz w:val="32"/>
          <w:szCs w:val="32"/>
        </w:rPr>
        <w:t>持股份可不受前述50万股买入限制。</w:t>
      </w:r>
    </w:p>
    <w:p w14:paraId="4DA18451" w14:textId="77777777" w:rsidR="000C29B8" w:rsidRDefault="00000000">
      <w:pPr>
        <w:tabs>
          <w:tab w:val="left" w:pos="1560"/>
          <w:tab w:val="left" w:pos="1843"/>
          <w:tab w:val="left" w:pos="1985"/>
          <w:tab w:val="left" w:pos="2127"/>
        </w:tabs>
        <w:snapToGrid w:val="0"/>
        <w:spacing w:line="560" w:lineRule="exact"/>
        <w:ind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红</w:t>
      </w:r>
      <w:proofErr w:type="gramStart"/>
      <w:r>
        <w:rPr>
          <w:rFonts w:ascii="仿宋_GB2312" w:eastAsia="仿宋_GB2312" w:hAnsi="Arial Unicode MS" w:cs="Arial Unicode MS" w:hint="eastAsia"/>
          <w:color w:val="000000"/>
          <w:sz w:val="32"/>
          <w:szCs w:val="32"/>
        </w:rPr>
        <w:t>筹企业</w:t>
      </w:r>
      <w:proofErr w:type="gramEnd"/>
      <w:r>
        <w:rPr>
          <w:rFonts w:ascii="仿宋_GB2312" w:eastAsia="仿宋_GB2312" w:hAnsi="Arial Unicode MS" w:cs="Arial Unicode MS" w:hint="eastAsia"/>
          <w:color w:val="000000"/>
          <w:sz w:val="32"/>
          <w:szCs w:val="32"/>
        </w:rPr>
        <w:t>发行存托凭证的，前款规定的50万股调整为50万份。</w:t>
      </w:r>
    </w:p>
    <w:p w14:paraId="485DFDA1" w14:textId="77777777" w:rsidR="000C29B8" w:rsidRDefault="00000000">
      <w:pPr>
        <w:numPr>
          <w:ilvl w:val="2"/>
          <w:numId w:val="45"/>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上市公司应当按照本章规定和要求履行信息披露和办理停复牌等义务。公司未按照本章规定履行信息披露义务的，本所知悉有关情况后可以对其股票实施停复牌、风险警示或终止上市等，并向市场公告。</w:t>
      </w:r>
    </w:p>
    <w:p w14:paraId="58D7DA09" w14:textId="77777777" w:rsidR="000C29B8" w:rsidRDefault="00000000">
      <w:pPr>
        <w:numPr>
          <w:ilvl w:val="2"/>
          <w:numId w:val="45"/>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上市公司存在股票被实施风险警示或者股票终止上市风险的，应当按照本章相关规定披露风险提示公告。</w:t>
      </w:r>
    </w:p>
    <w:p w14:paraId="6BD46F39"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本所可以视情况要求公司增加风险提示公告的披露次数。</w:t>
      </w:r>
    </w:p>
    <w:p w14:paraId="4FBBC362" w14:textId="77777777" w:rsidR="000C29B8" w:rsidRDefault="00000000">
      <w:pPr>
        <w:numPr>
          <w:ilvl w:val="2"/>
          <w:numId w:val="45"/>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出现股票被实施风险警示情形的，应当按照本章要求披露公司股票被实施风险警示的公告，公告应当包括实施风险警示的起始日、触及情形、实施风险警示的主要原因、董事会关于争取撤销风险警示的意见及具体措施、股票可能被终止上市的风险提示（如适用）、实施风险警示期间公司接受投资者咨询的主要方式以及本所要求的其他内容。</w:t>
      </w:r>
    </w:p>
    <w:p w14:paraId="7143732C" w14:textId="77777777" w:rsidR="000C29B8" w:rsidRDefault="00000000">
      <w:pPr>
        <w:numPr>
          <w:ilvl w:val="2"/>
          <w:numId w:val="45"/>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lastRenderedPageBreak/>
        <w:t>上市公司申请撤销风险警示的，应当向本所提交申请书、董事会决议、符合撤销风险警示条件的说明及相应证明材料等文件。</w:t>
      </w:r>
    </w:p>
    <w:p w14:paraId="43A64064" w14:textId="77777777" w:rsidR="000C29B8" w:rsidRDefault="00000000">
      <w:pPr>
        <w:numPr>
          <w:ilvl w:val="2"/>
          <w:numId w:val="45"/>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本所在</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是否撤销风险警示、终止股票上市决定、撤销对公司股票终止上市的决定前，可以要求上市公司提供补充材料，公司应当在本所要求期限内提供补充材料，公司提供补充材料期间不计入本所</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相关决定的期限。</w:t>
      </w:r>
    </w:p>
    <w:p w14:paraId="5C011B43" w14:textId="77777777" w:rsidR="000C29B8" w:rsidRDefault="00000000">
      <w:pPr>
        <w:tabs>
          <w:tab w:val="left" w:pos="108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公司未在本所要求期限内提交补充材料的，本所继续对相关事项进行审核，并按照本规则</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相关决定。</w:t>
      </w:r>
    </w:p>
    <w:p w14:paraId="317FB880" w14:textId="77777777" w:rsidR="000C29B8" w:rsidRDefault="00000000">
      <w:pPr>
        <w:tabs>
          <w:tab w:val="left" w:pos="108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本所在</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是否撤销风险警示、终止股票上市决定、撤销对公司股票终止上市的决定前，可以自行或委托相关机构就公司有关情况进行调查核实，并将核查结果提交上市委员会审议。调查核实期间不计入本所</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有关决定的期限。</w:t>
      </w:r>
    </w:p>
    <w:p w14:paraId="0BD5D434" w14:textId="77777777" w:rsidR="000C29B8" w:rsidRDefault="00000000">
      <w:pPr>
        <w:numPr>
          <w:ilvl w:val="2"/>
          <w:numId w:val="45"/>
        </w:numPr>
        <w:tabs>
          <w:tab w:val="left" w:pos="1560"/>
          <w:tab w:val="left" w:pos="1843"/>
          <w:tab w:val="left" w:pos="1985"/>
          <w:tab w:val="left" w:pos="2127"/>
        </w:tabs>
        <w:snapToGrid w:val="0"/>
        <w:spacing w:line="560" w:lineRule="exact"/>
        <w:ind w:left="0" w:firstLineChars="200" w:firstLine="640"/>
        <w:rPr>
          <w:rFonts w:ascii="仿宋_GB2312" w:eastAsia="仿宋_GB2312"/>
          <w:color w:val="000000"/>
          <w:sz w:val="30"/>
          <w:szCs w:val="30"/>
        </w:rPr>
      </w:pPr>
      <w:r>
        <w:rPr>
          <w:rFonts w:ascii="仿宋_GB2312" w:eastAsia="仿宋_GB2312" w:hAnsi="黑体" w:hint="eastAsia"/>
          <w:sz w:val="32"/>
          <w:szCs w:val="32"/>
        </w:rPr>
        <w:t xml:space="preserve"> 上市公司出现两项以上风险警示、终止上市情形的，其</w:t>
      </w:r>
      <w:r>
        <w:rPr>
          <w:rFonts w:ascii="仿宋_GB2312" w:eastAsia="仿宋_GB2312" w:hAnsi="黑体"/>
          <w:sz w:val="32"/>
          <w:szCs w:val="32"/>
        </w:rPr>
        <w:t>股票</w:t>
      </w:r>
      <w:r>
        <w:rPr>
          <w:rFonts w:ascii="仿宋_GB2312" w:eastAsia="仿宋_GB2312" w:hAnsi="黑体" w:hint="eastAsia"/>
          <w:sz w:val="32"/>
          <w:szCs w:val="32"/>
        </w:rPr>
        <w:t>按照先触及先适用的原则实施风险警示、终止上市。</w:t>
      </w:r>
    </w:p>
    <w:p w14:paraId="253A903B" w14:textId="77777777" w:rsidR="000C29B8" w:rsidRDefault="00000000">
      <w:pPr>
        <w:tabs>
          <w:tab w:val="left" w:pos="1080"/>
        </w:tabs>
        <w:snapToGrid w:val="0"/>
        <w:spacing w:line="560" w:lineRule="exact"/>
        <w:ind w:firstLineChars="200" w:firstLine="640"/>
        <w:rPr>
          <w:rFonts w:ascii="仿宋_GB2312" w:eastAsia="仿宋_GB2312" w:hAnsi="黑体"/>
          <w:sz w:val="32"/>
          <w:szCs w:val="32"/>
        </w:rPr>
      </w:pPr>
      <w:r>
        <w:rPr>
          <w:rFonts w:ascii="仿宋_GB2312" w:eastAsia="仿宋_GB2312" w:hAnsi="Arial Unicode MS" w:cs="Arial Unicode MS" w:hint="eastAsia"/>
          <w:color w:val="000000"/>
          <w:sz w:val="32"/>
          <w:szCs w:val="32"/>
        </w:rPr>
        <w:t>上市公司同时存在两项以上退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警示情形的，</w:t>
      </w:r>
      <w:r>
        <w:rPr>
          <w:rFonts w:ascii="仿宋_GB2312" w:eastAsia="仿宋_GB2312" w:hAnsi="黑体" w:hint="eastAsia"/>
          <w:sz w:val="32"/>
          <w:szCs w:val="32"/>
        </w:rPr>
        <w:t>已满足其中一项退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警示撤销条件的，应当在规定期限内申请撤销相关情形对应的退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警示，经本所审核同意的，不再适用该情形对应的终止上市程序。</w:t>
      </w:r>
    </w:p>
    <w:p w14:paraId="52BBE9E5" w14:textId="77777777" w:rsidR="000C29B8" w:rsidRDefault="00000000">
      <w:pPr>
        <w:tabs>
          <w:tab w:val="left" w:pos="1080"/>
        </w:tabs>
        <w:snapToGrid w:val="0"/>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公司同时存在两项以上风险警示情形的，须满足全部风险警示情形的撤销条件，方可撤销风险警示。</w:t>
      </w:r>
    </w:p>
    <w:p w14:paraId="0E08D474" w14:textId="77777777" w:rsidR="000C29B8" w:rsidRDefault="00000000">
      <w:pPr>
        <w:tabs>
          <w:tab w:val="left" w:pos="1080"/>
        </w:tabs>
        <w:snapToGrid w:val="0"/>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公司虽满足撤销退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警示条件，但还存在其他风险警示情形的，本所对公司股票实施其他风险警示。</w:t>
      </w:r>
    </w:p>
    <w:p w14:paraId="03CB2CF4" w14:textId="77777777" w:rsidR="000C29B8" w:rsidRDefault="00000000">
      <w:pPr>
        <w:numPr>
          <w:ilvl w:val="2"/>
          <w:numId w:val="45"/>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sz w:val="32"/>
          <w:szCs w:val="32"/>
        </w:rPr>
        <w:lastRenderedPageBreak/>
        <w:t xml:space="preserve"> </w:t>
      </w:r>
      <w:r>
        <w:rPr>
          <w:rFonts w:ascii="仿宋_GB2312" w:eastAsia="仿宋_GB2312" w:hAnsi="黑体" w:hint="eastAsia"/>
          <w:sz w:val="32"/>
          <w:szCs w:val="32"/>
        </w:rPr>
        <w:t>上市公司股票被终止上市的，其发行的可转换公司债</w:t>
      </w:r>
      <w:proofErr w:type="gramStart"/>
      <w:r>
        <w:rPr>
          <w:rFonts w:ascii="仿宋_GB2312" w:eastAsia="仿宋_GB2312" w:hAnsi="黑体" w:hint="eastAsia"/>
          <w:sz w:val="32"/>
          <w:szCs w:val="32"/>
        </w:rPr>
        <w:t>券</w:t>
      </w:r>
      <w:proofErr w:type="gramEnd"/>
      <w:r>
        <w:rPr>
          <w:rFonts w:ascii="仿宋_GB2312" w:eastAsia="仿宋_GB2312" w:hAnsi="黑体" w:hint="eastAsia"/>
          <w:sz w:val="32"/>
          <w:szCs w:val="32"/>
        </w:rPr>
        <w:t>应当终止上市。</w:t>
      </w:r>
    </w:p>
    <w:p w14:paraId="248832B5"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可转换公司债</w:t>
      </w:r>
      <w:proofErr w:type="gramStart"/>
      <w:r>
        <w:rPr>
          <w:rFonts w:ascii="仿宋_GB2312" w:eastAsia="仿宋_GB2312" w:hAnsi="黑体" w:hint="eastAsia"/>
          <w:sz w:val="32"/>
          <w:szCs w:val="32"/>
        </w:rPr>
        <w:t>券</w:t>
      </w:r>
      <w:proofErr w:type="gramEnd"/>
      <w:r>
        <w:rPr>
          <w:rFonts w:ascii="仿宋_GB2312" w:eastAsia="仿宋_GB2312" w:hAnsi="黑体" w:hint="eastAsia"/>
          <w:sz w:val="32"/>
          <w:szCs w:val="32"/>
        </w:rPr>
        <w:t>终止上市事宜，参照股票终止上市的有关规定执行。</w:t>
      </w:r>
    </w:p>
    <w:p w14:paraId="180E07B9"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本所对可转换公司债</w:t>
      </w:r>
      <w:proofErr w:type="gramStart"/>
      <w:r>
        <w:rPr>
          <w:rFonts w:ascii="仿宋_GB2312" w:eastAsia="仿宋_GB2312" w:hAnsi="黑体" w:hint="eastAsia"/>
          <w:sz w:val="32"/>
          <w:szCs w:val="32"/>
        </w:rPr>
        <w:t>券</w:t>
      </w:r>
      <w:proofErr w:type="gramEnd"/>
      <w:r>
        <w:rPr>
          <w:rFonts w:ascii="仿宋_GB2312" w:eastAsia="仿宋_GB2312" w:hAnsi="黑体" w:hint="eastAsia"/>
          <w:sz w:val="32"/>
          <w:szCs w:val="32"/>
        </w:rPr>
        <w:t>的终止上市事宜另有规定的，从其规定。</w:t>
      </w:r>
    </w:p>
    <w:p w14:paraId="6D4AFFFF" w14:textId="77777777" w:rsidR="000C29B8" w:rsidRDefault="00000000">
      <w:pPr>
        <w:pStyle w:val="23"/>
      </w:pPr>
      <w:bookmarkStart w:id="616" w:name="_Toc532393276"/>
      <w:bookmarkStart w:id="617" w:name="_Toc532393266"/>
      <w:bookmarkStart w:id="618" w:name="_Toc532393474"/>
      <w:bookmarkStart w:id="619" w:name="_Toc532393481"/>
      <w:bookmarkStart w:id="620" w:name="_Toc532393260"/>
      <w:bookmarkStart w:id="621" w:name="_Toc532393269"/>
      <w:bookmarkStart w:id="622" w:name="_Toc532393471"/>
      <w:bookmarkStart w:id="623" w:name="_Toc532393475"/>
      <w:bookmarkStart w:id="624" w:name="_Toc532393460"/>
      <w:bookmarkStart w:id="625" w:name="_Toc532393255"/>
      <w:bookmarkStart w:id="626" w:name="_Toc532393270"/>
      <w:bookmarkStart w:id="627" w:name="_Toc532393263"/>
      <w:bookmarkStart w:id="628" w:name="_Toc532393462"/>
      <w:bookmarkStart w:id="629" w:name="_Toc532393466"/>
      <w:bookmarkStart w:id="630" w:name="_Toc532393468"/>
      <w:bookmarkStart w:id="631" w:name="_Toc532393267"/>
      <w:bookmarkStart w:id="632" w:name="_Toc532393476"/>
      <w:bookmarkStart w:id="633" w:name="_Toc532393472"/>
      <w:bookmarkStart w:id="634" w:name="_Toc532393470"/>
      <w:bookmarkStart w:id="635" w:name="_Toc532393277"/>
      <w:bookmarkStart w:id="636" w:name="_Toc532393268"/>
      <w:bookmarkStart w:id="637" w:name="_Toc532393262"/>
      <w:bookmarkStart w:id="638" w:name="_Toc532393256"/>
      <w:bookmarkStart w:id="639" w:name="_Toc532393463"/>
      <w:bookmarkStart w:id="640" w:name="_Toc532393483"/>
      <w:bookmarkStart w:id="641" w:name="_Toc532393469"/>
      <w:bookmarkStart w:id="642" w:name="_Toc532393479"/>
      <w:bookmarkStart w:id="643" w:name="_Toc532393477"/>
      <w:bookmarkStart w:id="644" w:name="_Toc532393275"/>
      <w:bookmarkStart w:id="645" w:name="_Toc532393254"/>
      <w:bookmarkStart w:id="646" w:name="_Toc532393265"/>
      <w:bookmarkStart w:id="647" w:name="_Toc532393465"/>
      <w:bookmarkStart w:id="648" w:name="_Toc532393478"/>
      <w:bookmarkStart w:id="649" w:name="_Toc532393274"/>
      <w:bookmarkStart w:id="650" w:name="_Toc532393261"/>
      <w:bookmarkStart w:id="651" w:name="_Toc532393264"/>
      <w:bookmarkStart w:id="652" w:name="_Toc532393464"/>
      <w:bookmarkStart w:id="653" w:name="_Toc532393480"/>
      <w:bookmarkStart w:id="654" w:name="_Toc532393271"/>
      <w:bookmarkStart w:id="655" w:name="_Toc532393467"/>
      <w:bookmarkStart w:id="656" w:name="_Toc532393473"/>
      <w:bookmarkStart w:id="657" w:name="_Toc532393272"/>
      <w:bookmarkStart w:id="658" w:name="_Toc532393257"/>
      <w:bookmarkStart w:id="659" w:name="_Toc532393461"/>
      <w:bookmarkStart w:id="660" w:name="_Toc532393258"/>
      <w:bookmarkStart w:id="661" w:name="_Toc532393259"/>
      <w:bookmarkStart w:id="662" w:name="_Toc532393482"/>
      <w:bookmarkStart w:id="663" w:name="_Toc532393273"/>
      <w:bookmarkStart w:id="664" w:name="_Toc10610"/>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r>
        <w:rPr>
          <w:rFonts w:hint="eastAsia"/>
        </w:rPr>
        <w:t>第二节  重大违法强制退市</w:t>
      </w:r>
      <w:bookmarkEnd w:id="664"/>
    </w:p>
    <w:p w14:paraId="714BD7E3" w14:textId="77777777" w:rsidR="000C29B8" w:rsidRDefault="00000000">
      <w:pPr>
        <w:numPr>
          <w:ilvl w:val="2"/>
          <w:numId w:val="46"/>
        </w:numPr>
        <w:tabs>
          <w:tab w:val="clear" w:pos="1844"/>
          <w:tab w:val="left" w:pos="1560"/>
          <w:tab w:val="left" w:pos="1843"/>
          <w:tab w:val="left" w:pos="1985"/>
          <w:tab w:val="left" w:pos="2127"/>
        </w:tabs>
        <w:snapToGrid w:val="0"/>
        <w:spacing w:line="560" w:lineRule="exact"/>
        <w:ind w:left="0" w:firstLine="640"/>
        <w:rPr>
          <w:rFonts w:ascii="仿宋_GB2312" w:eastAsia="仿宋_GB2312" w:hAnsi="黑体"/>
          <w:sz w:val="32"/>
          <w:szCs w:val="32"/>
        </w:rPr>
      </w:pPr>
      <w:r>
        <w:rPr>
          <w:rFonts w:ascii="仿宋_GB2312" w:eastAsia="仿宋_GB2312" w:hAnsi="黑体" w:hint="eastAsia"/>
          <w:sz w:val="32"/>
          <w:szCs w:val="32"/>
        </w:rPr>
        <w:t>本规则所称重大违法强制退市，包括下列情形：</w:t>
      </w:r>
    </w:p>
    <w:p w14:paraId="05A62238"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（一）上市公司存在欺诈发行、重大信息披露违法或者其他严重损害证券市场秩序的重大违法行为，且严重影响上市地位，其股票应当被终止上市的情形；</w:t>
      </w:r>
    </w:p>
    <w:p w14:paraId="517B7078"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（二）上市公司存在涉及国家安全、公共安全、生态安全、生产安全和公众健康安全等领域的违法行为，情节恶劣，严重损害国家利益、社会公共利益，或者严重影响上市地位，其股票应当被终止上市的情形。</w:t>
      </w:r>
    </w:p>
    <w:p w14:paraId="0796994B" w14:textId="77777777" w:rsidR="000C29B8" w:rsidRDefault="00000000">
      <w:pPr>
        <w:numPr>
          <w:ilvl w:val="2"/>
          <w:numId w:val="46"/>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上市公司涉及第12.2.1条第一项规定的重大违法行为，存在下列情形之一的，其股票应当被终止上市：</w:t>
      </w:r>
    </w:p>
    <w:p w14:paraId="378382BA"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（一）上市公司首次公开发行股票，申请或者披露文件存在虚假记载、误导性陈述或重大遗漏，被中国证监会依据《证券法》第一百八十一条</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行政处罚决定，或者被人民法院依据《刑法》第一百六十条</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有罪生效判决。</w:t>
      </w:r>
    </w:p>
    <w:p w14:paraId="4B3AE10D"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（二）上市公司发行股份购买资产并构成重组上市，申请或者披露文件存在虚假记载、误导性陈述或者重大遗漏，被中国证监会依据《证券法》第一百八十一条</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行政处罚</w:t>
      </w:r>
      <w:r>
        <w:rPr>
          <w:rFonts w:ascii="仿宋_GB2312" w:eastAsia="仿宋_GB2312" w:hAnsi="黑体" w:hint="eastAsia"/>
          <w:sz w:val="32"/>
          <w:szCs w:val="32"/>
        </w:rPr>
        <w:lastRenderedPageBreak/>
        <w:t>决定，或者被人民法院依据《刑法》第一百六十条</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有罪生效判决。</w:t>
      </w:r>
    </w:p>
    <w:p w14:paraId="2CD89481"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三）上市公司披露的年度报告存在虚假记载、误导性陈述或者重大遗漏，根据中国证监会行政处罚决定载明的事实，导致2019年度至2024年度内的任意连续会计年度财务类指标已实际触及相应年度的终止上市情形；或者导致2024年度及以后年度的任意连续会计年度财务类指标已实际触及本章第四节规定的终止上市情形。</w:t>
      </w:r>
    </w:p>
    <w:p w14:paraId="0BC5D81B" w14:textId="45B7D851"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（四）根据中国证监会行政处罚决定载明的事实，公司披露的营业收入、利润总额或者净利润任</w:t>
      </w:r>
      <w:proofErr w:type="gramStart"/>
      <w:r>
        <w:rPr>
          <w:rFonts w:ascii="仿宋_GB2312" w:eastAsia="仿宋_GB2312" w:hAnsi="黑体" w:hint="eastAsia"/>
          <w:sz w:val="32"/>
          <w:szCs w:val="32"/>
        </w:rPr>
        <w:t>一</w:t>
      </w:r>
      <w:proofErr w:type="gramEnd"/>
      <w:r>
        <w:rPr>
          <w:rFonts w:ascii="仿宋_GB2312" w:eastAsia="仿宋_GB2312" w:hAnsi="黑体" w:hint="eastAsia"/>
          <w:sz w:val="32"/>
          <w:szCs w:val="32"/>
        </w:rPr>
        <w:t>年度虚假记载金额达到2亿元以上，且超过该年度披露的相应科目</w:t>
      </w:r>
      <w:r w:rsidR="004C506B">
        <w:rPr>
          <w:rFonts w:ascii="仿宋_GB2312" w:eastAsia="仿宋_GB2312" w:hAnsi="黑体" w:hint="eastAsia"/>
          <w:sz w:val="32"/>
          <w:szCs w:val="32"/>
        </w:rPr>
        <w:t>金额</w:t>
      </w:r>
      <w:r w:rsidR="0031662D">
        <w:rPr>
          <w:rFonts w:ascii="仿宋_GB2312" w:eastAsia="仿宋_GB2312" w:hAnsi="黑体" w:hint="eastAsia"/>
          <w:sz w:val="32"/>
          <w:szCs w:val="32"/>
        </w:rPr>
        <w:t>绝对值</w:t>
      </w:r>
      <w:r>
        <w:rPr>
          <w:rFonts w:ascii="仿宋_GB2312" w:eastAsia="仿宋_GB2312" w:hAnsi="黑体" w:hint="eastAsia"/>
          <w:sz w:val="32"/>
          <w:szCs w:val="32"/>
        </w:rPr>
        <w:t>的30%；或者资产负债表中资产和负债科目</w:t>
      </w:r>
      <w:r w:rsidR="0031662D">
        <w:rPr>
          <w:rFonts w:ascii="仿宋_GB2312" w:eastAsia="仿宋_GB2312" w:hAnsi="黑体" w:hint="eastAsia"/>
          <w:sz w:val="32"/>
          <w:szCs w:val="32"/>
        </w:rPr>
        <w:t>任</w:t>
      </w:r>
      <w:proofErr w:type="gramStart"/>
      <w:r w:rsidR="0031662D">
        <w:rPr>
          <w:rFonts w:ascii="仿宋_GB2312" w:eastAsia="仿宋_GB2312" w:hAnsi="黑体" w:hint="eastAsia"/>
          <w:sz w:val="32"/>
          <w:szCs w:val="32"/>
        </w:rPr>
        <w:t>一</w:t>
      </w:r>
      <w:proofErr w:type="gramEnd"/>
      <w:r w:rsidR="0031662D">
        <w:rPr>
          <w:rFonts w:ascii="仿宋_GB2312" w:eastAsia="仿宋_GB2312" w:hAnsi="黑体" w:hint="eastAsia"/>
          <w:sz w:val="32"/>
          <w:szCs w:val="32"/>
        </w:rPr>
        <w:t>年度</w:t>
      </w:r>
      <w:r>
        <w:rPr>
          <w:rFonts w:ascii="仿宋_GB2312" w:eastAsia="仿宋_GB2312" w:hAnsi="黑体" w:hint="eastAsia"/>
          <w:sz w:val="32"/>
          <w:szCs w:val="32"/>
        </w:rPr>
        <w:t>虚假记载金额合计达到2亿元以上，且超过</w:t>
      </w:r>
      <w:r w:rsidR="0031662D">
        <w:rPr>
          <w:rFonts w:ascii="仿宋_GB2312" w:eastAsia="仿宋_GB2312" w:hAnsi="黑体" w:hint="eastAsia"/>
          <w:sz w:val="32"/>
          <w:szCs w:val="32"/>
        </w:rPr>
        <w:t>该年度</w:t>
      </w:r>
      <w:r>
        <w:rPr>
          <w:rFonts w:ascii="仿宋_GB2312" w:eastAsia="仿宋_GB2312" w:hAnsi="黑体" w:hint="eastAsia"/>
          <w:sz w:val="32"/>
          <w:szCs w:val="32"/>
        </w:rPr>
        <w:t>披露的年度期末净资产</w:t>
      </w:r>
      <w:r w:rsidR="004C506B">
        <w:rPr>
          <w:rFonts w:ascii="仿宋_GB2312" w:eastAsia="仿宋_GB2312" w:hAnsi="黑体" w:hint="eastAsia"/>
          <w:sz w:val="32"/>
          <w:szCs w:val="32"/>
        </w:rPr>
        <w:t>金额</w:t>
      </w:r>
      <w:r w:rsidR="0031662D">
        <w:rPr>
          <w:rFonts w:ascii="仿宋_GB2312" w:eastAsia="仿宋_GB2312" w:hAnsi="黑体" w:hint="eastAsia"/>
          <w:sz w:val="32"/>
          <w:szCs w:val="32"/>
        </w:rPr>
        <w:t>绝对值</w:t>
      </w:r>
      <w:r>
        <w:rPr>
          <w:rFonts w:ascii="仿宋_GB2312" w:eastAsia="仿宋_GB2312" w:hAnsi="黑体" w:hint="eastAsia"/>
          <w:sz w:val="32"/>
          <w:szCs w:val="32"/>
        </w:rPr>
        <w:t>的30%（计算资产负债表中资产和负债科目虚假记载金额合计数时，虚增和虚</w:t>
      </w:r>
      <w:proofErr w:type="gramStart"/>
      <w:r>
        <w:rPr>
          <w:rFonts w:ascii="仿宋_GB2312" w:eastAsia="仿宋_GB2312" w:hAnsi="黑体" w:hint="eastAsia"/>
          <w:sz w:val="32"/>
          <w:szCs w:val="32"/>
        </w:rPr>
        <w:t>减金额</w:t>
      </w:r>
      <w:proofErr w:type="gramEnd"/>
      <w:r>
        <w:rPr>
          <w:rFonts w:ascii="仿宋_GB2312" w:eastAsia="仿宋_GB2312" w:hAnsi="黑体" w:hint="eastAsia"/>
          <w:sz w:val="32"/>
          <w:szCs w:val="32"/>
        </w:rPr>
        <w:t>合计计算；本项情形适用于2024年度及以后年度的虚假记载行为）。</w:t>
      </w:r>
    </w:p>
    <w:p w14:paraId="400042F9" w14:textId="47466056"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五）根据中国证监会行政处罚决定载明的事实，公司披露的营业收入、利润总额或者净利润连续2年虚假记载金额合计达到3亿元以上，且超过该2年披露的相应科目合计金额的20%；或者公司披露的资产负债表中资产和负债科目连续2年虚假记载金额合计达到3亿元以上，且超过该2年披露的年度期末净资产合计金额的20%（计算前述合计数时，相关财务数据为负值的，先取其绝对值再合计计算；计算资产负债表中资产和负债科目虚假记载金额合计数时，虚增和</w:t>
      </w:r>
      <w:r>
        <w:rPr>
          <w:rFonts w:ascii="仿宋_GB2312" w:eastAsia="仿宋_GB2312" w:hAnsi="黑体" w:hint="eastAsia"/>
          <w:sz w:val="32"/>
          <w:szCs w:val="32"/>
        </w:rPr>
        <w:lastRenderedPageBreak/>
        <w:t>虚</w:t>
      </w:r>
      <w:proofErr w:type="gramStart"/>
      <w:r>
        <w:rPr>
          <w:rFonts w:ascii="仿宋_GB2312" w:eastAsia="仿宋_GB2312" w:hAnsi="黑体" w:hint="eastAsia"/>
          <w:sz w:val="32"/>
          <w:szCs w:val="32"/>
        </w:rPr>
        <w:t>减金额</w:t>
      </w:r>
      <w:proofErr w:type="gramEnd"/>
      <w:r>
        <w:rPr>
          <w:rFonts w:ascii="仿宋_GB2312" w:eastAsia="仿宋_GB2312" w:hAnsi="黑体" w:hint="eastAsia"/>
          <w:sz w:val="32"/>
          <w:szCs w:val="32"/>
        </w:rPr>
        <w:t>合计计算；本项情形适用于2024年度及以后年度的虚假记载行为）。</w:t>
      </w:r>
    </w:p>
    <w:p w14:paraId="65162904"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 xml:space="preserve">（六）根据中国证监会行政处罚决定载明的事实，公司披露的年度报告财务指标连续3年存在虚假记载，前述财务指标包括营业收入、利润总额、净利润、资产负债表中的资产或者负债科目（本项情形适用于2020年度及以后年度的虚假记载行为）。 </w:t>
      </w:r>
    </w:p>
    <w:p w14:paraId="1E306123"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七）根据中国证监会行政处罚决定载明的事实，公司披露的营业收入连续2年均存在虚假记载，虚假记载的营业收入金额合计达到5亿元以上，且超过该2年披露的年度营业收入合计金额的50%；或者公司披露的净利润连续2年均存在虚假记载，虚假记载的净利润金额合计达到5亿元以上，且超过该2年披露的年度净利润合计金额的50%；或者公司披露的利润总额连续2年均存在虚假记载，虚假记载的利润总额金额合计达到5亿元以上，且超过该2年披露的年度利润总额合计金额的50%；或者公司披露的资产负债表连续2年均存在虚假记载，资产负债表虚假记载金额合计达到5亿元以上，且超过该2年披露的年度期末净资产合计金额的50%（计算前述合计数时，相关财务数据为负值的，则先取其绝对值再合计计算；</w:t>
      </w:r>
      <w:r>
        <w:rPr>
          <w:rFonts w:ascii="仿宋_GB2312" w:eastAsia="仿宋_GB2312" w:hAnsi="黑体"/>
          <w:sz w:val="32"/>
          <w:szCs w:val="32"/>
        </w:rPr>
        <w:t>本</w:t>
      </w:r>
      <w:r>
        <w:rPr>
          <w:rFonts w:ascii="仿宋_GB2312" w:eastAsia="仿宋_GB2312" w:hAnsi="黑体" w:hint="eastAsia"/>
          <w:sz w:val="32"/>
          <w:szCs w:val="32"/>
        </w:rPr>
        <w:t>项情形</w:t>
      </w:r>
      <w:r>
        <w:rPr>
          <w:rFonts w:ascii="仿宋_GB2312" w:eastAsia="仿宋_GB2312" w:hAnsi="黑体"/>
          <w:sz w:val="32"/>
          <w:szCs w:val="32"/>
        </w:rPr>
        <w:t>适用于</w:t>
      </w:r>
      <w:r>
        <w:rPr>
          <w:rFonts w:ascii="仿宋_GB2312" w:eastAsia="仿宋_GB2312" w:hAnsi="黑体" w:hint="eastAsia"/>
          <w:sz w:val="32"/>
          <w:szCs w:val="32"/>
        </w:rPr>
        <w:t>2020年度</w:t>
      </w:r>
      <w:r>
        <w:rPr>
          <w:rFonts w:ascii="仿宋_GB2312" w:eastAsia="仿宋_GB2312" w:hAnsi="黑体"/>
          <w:sz w:val="32"/>
          <w:szCs w:val="32"/>
        </w:rPr>
        <w:t>至</w:t>
      </w:r>
      <w:r>
        <w:rPr>
          <w:rFonts w:ascii="仿宋_GB2312" w:eastAsia="仿宋_GB2312" w:hAnsi="黑体" w:hint="eastAsia"/>
          <w:sz w:val="32"/>
          <w:szCs w:val="32"/>
        </w:rPr>
        <w:t>2024年度）。</w:t>
      </w:r>
    </w:p>
    <w:p w14:paraId="410B37A8"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（八）本所根据上市公司违法行为的事实、性质、情节及社会影响等因素认定的其他严重损害证券市场秩序的情形。</w:t>
      </w:r>
    </w:p>
    <w:p w14:paraId="66630DDB" w14:textId="77777777" w:rsidR="000C29B8" w:rsidRDefault="00000000">
      <w:pPr>
        <w:numPr>
          <w:ilvl w:val="2"/>
          <w:numId w:val="46"/>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上市公司涉及第12.2.1条第二项规定的重大</w:t>
      </w:r>
      <w:r>
        <w:rPr>
          <w:rFonts w:ascii="仿宋_GB2312" w:eastAsia="仿宋_GB2312" w:hAnsi="黑体" w:hint="eastAsia"/>
          <w:sz w:val="32"/>
          <w:szCs w:val="32"/>
        </w:rPr>
        <w:lastRenderedPageBreak/>
        <w:t>违法行为，存在下列情形之一的，其股票应当被终止上市：</w:t>
      </w:r>
    </w:p>
    <w:p w14:paraId="011784FF"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（一）上市公司或其主要子公司被依法吊销营业执照、责令关闭或者被撤销；</w:t>
      </w:r>
    </w:p>
    <w:p w14:paraId="7E55D677"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（二）上市公司或其主要子公司被依法吊销主营业务生产经营许可证，或者存在丧失继续生产经营法律资格的其他情形；</w:t>
      </w:r>
    </w:p>
    <w:p w14:paraId="3E119D66"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（三）本所根据上市公司重大违法行为损害国家利益、社会公共利益的严重程度，结合公司承担法律责任类型、对公司生产经营和上市地位的影响程度等情形，认为公司股票应当终止上市的。</w:t>
      </w:r>
    </w:p>
    <w:p w14:paraId="44D03556" w14:textId="77777777" w:rsidR="000C29B8" w:rsidRDefault="00000000">
      <w:pPr>
        <w:numPr>
          <w:ilvl w:val="2"/>
          <w:numId w:val="46"/>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上市公司可能触及本节规定的重大违法强制退市情形的，应当于知悉相关行政机关行政处罚事先告知书或者人民法院</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司法裁判当日向</w:t>
      </w:r>
      <w:r>
        <w:rPr>
          <w:rFonts w:ascii="仿宋_GB2312" w:eastAsia="仿宋_GB2312" w:hAnsi="黑体"/>
          <w:sz w:val="32"/>
          <w:szCs w:val="32"/>
        </w:rPr>
        <w:t>本所报告</w:t>
      </w:r>
      <w:r>
        <w:rPr>
          <w:rFonts w:ascii="仿宋_GB2312" w:eastAsia="仿宋_GB2312" w:hAnsi="黑体" w:hint="eastAsia"/>
          <w:sz w:val="32"/>
          <w:szCs w:val="32"/>
        </w:rPr>
        <w:t>，及时披露有关内容，就其股票可能被实施重大违法强制退市进行风险提示。公司股票于公告披露日起停牌，公告披露日为</w:t>
      </w:r>
      <w:proofErr w:type="gramStart"/>
      <w:r>
        <w:rPr>
          <w:rFonts w:ascii="仿宋_GB2312" w:eastAsia="仿宋_GB2312" w:hAnsi="黑体" w:hint="eastAsia"/>
          <w:sz w:val="32"/>
          <w:szCs w:val="32"/>
        </w:rPr>
        <w:t>非交易</w:t>
      </w:r>
      <w:proofErr w:type="gramEnd"/>
      <w:r>
        <w:rPr>
          <w:rFonts w:ascii="仿宋_GB2312" w:eastAsia="仿宋_GB2312" w:hAnsi="黑体" w:hint="eastAsia"/>
          <w:sz w:val="32"/>
          <w:szCs w:val="32"/>
        </w:rPr>
        <w:t>日的，于次一交易日起停牌。</w:t>
      </w:r>
    </w:p>
    <w:p w14:paraId="029AF192"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本所在公司股票停牌之日后5个交易日内，根据实际情况，对公司股票实施退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警示。公司应当按照本所要求在其股票被实施退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警示之前一个交易日</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公告。公司股票自公告披露日后的次一交易日起复牌。自复牌之日起，本所对公司股票实施退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w:t>
      </w:r>
    </w:p>
    <w:p w14:paraId="0D3232E7"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Arial Unicode MS" w:cs="Arial Unicode MS" w:hint="eastAsia"/>
          <w:color w:val="000000"/>
          <w:sz w:val="32"/>
          <w:szCs w:val="32"/>
        </w:rPr>
        <w:t>上市公司未及时披露的，本所可以在获悉相关情况后对公司股票实施停牌，并向市场公告。</w:t>
      </w:r>
    </w:p>
    <w:p w14:paraId="59D7789F"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Arial Unicode MS" w:cs="Arial Unicode MS" w:hint="eastAsia"/>
          <w:color w:val="000000"/>
          <w:sz w:val="32"/>
          <w:szCs w:val="32"/>
        </w:rPr>
        <w:t>上市</w:t>
      </w:r>
      <w:r>
        <w:rPr>
          <w:rFonts w:ascii="仿宋_GB2312" w:eastAsia="仿宋_GB2312" w:hAnsi="黑体" w:hint="eastAsia"/>
          <w:sz w:val="32"/>
          <w:szCs w:val="32"/>
        </w:rPr>
        <w:t>公司股票因第一款情形被实施退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警示期间，</w:t>
      </w:r>
      <w:r>
        <w:rPr>
          <w:rFonts w:ascii="仿宋_GB2312" w:eastAsia="仿宋_GB2312" w:hAnsi="黑体" w:hint="eastAsia"/>
          <w:sz w:val="32"/>
          <w:szCs w:val="32"/>
        </w:rPr>
        <w:lastRenderedPageBreak/>
        <w:t>公司应当每5个交易日披露一次相关事项进展，并就公司股票可能被实施重大违法强制退市进行风险提示。</w:t>
      </w:r>
    </w:p>
    <w:p w14:paraId="3A3B5F25" w14:textId="77777777" w:rsidR="000C29B8" w:rsidRDefault="00000000">
      <w:pPr>
        <w:numPr>
          <w:ilvl w:val="2"/>
          <w:numId w:val="46"/>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上市公司在股票被实施退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警示期间，收到相关行政机关相应行政处罚决定或者人民法院生效司法裁判，未触及本节规定的重大违法强制退市情形，应当及时披露。</w:t>
      </w:r>
      <w:r>
        <w:rPr>
          <w:rFonts w:ascii="仿宋_GB2312" w:eastAsia="仿宋_GB2312" w:hAnsi="Arial Unicode MS" w:cs="Arial Unicode MS" w:hint="eastAsia"/>
          <w:color w:val="000000"/>
          <w:sz w:val="32"/>
          <w:szCs w:val="32"/>
        </w:rPr>
        <w:t>公司股票在公告披露日停牌一天，公告披露日为</w:t>
      </w:r>
      <w:proofErr w:type="gramStart"/>
      <w:r>
        <w:rPr>
          <w:rFonts w:ascii="仿宋_GB2312" w:eastAsia="仿宋_GB2312" w:hAnsi="Arial Unicode MS" w:cs="Arial Unicode MS" w:hint="eastAsia"/>
          <w:color w:val="000000"/>
          <w:sz w:val="32"/>
          <w:szCs w:val="32"/>
        </w:rPr>
        <w:t>非交易</w:t>
      </w:r>
      <w:proofErr w:type="gramEnd"/>
      <w:r>
        <w:rPr>
          <w:rFonts w:ascii="仿宋_GB2312" w:eastAsia="仿宋_GB2312" w:hAnsi="Arial Unicode MS" w:cs="Arial Unicode MS" w:hint="eastAsia"/>
          <w:color w:val="000000"/>
          <w:sz w:val="32"/>
          <w:szCs w:val="32"/>
        </w:rPr>
        <w:t>日的，于披露日次一交易日停牌一天。本所自复牌之日起撤销对公司股票实施的退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w:t>
      </w:r>
    </w:p>
    <w:p w14:paraId="12BDCE82" w14:textId="77777777" w:rsidR="000C29B8" w:rsidRDefault="00000000">
      <w:pPr>
        <w:tabs>
          <w:tab w:val="left" w:pos="1560"/>
          <w:tab w:val="left" w:pos="1985"/>
          <w:tab w:val="left" w:pos="2127"/>
        </w:tabs>
        <w:snapToGrid w:val="0"/>
        <w:spacing w:line="560" w:lineRule="exact"/>
        <w:ind w:firstLine="640"/>
        <w:rPr>
          <w:rFonts w:ascii="仿宋_GB2312" w:eastAsia="仿宋_GB2312" w:hAnsi="黑体"/>
          <w:sz w:val="32"/>
          <w:szCs w:val="32"/>
        </w:rPr>
      </w:pPr>
      <w:r>
        <w:rPr>
          <w:rFonts w:ascii="仿宋_GB2312" w:eastAsia="仿宋_GB2312" w:hAnsi="黑体" w:hint="eastAsia"/>
          <w:sz w:val="32"/>
          <w:szCs w:val="32"/>
        </w:rPr>
        <w:t>上市公司虽满足本条规定的退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警示的撤销条件，但具有其他退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警示情形的，按其他退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警示的程序执行，不予撤销退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w:t>
      </w:r>
    </w:p>
    <w:p w14:paraId="16A81052" w14:textId="77777777" w:rsidR="000C29B8" w:rsidRDefault="00000000">
      <w:pPr>
        <w:numPr>
          <w:ilvl w:val="2"/>
          <w:numId w:val="46"/>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上市公司在股票被实施退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期间，收到相关行政机关相应行政处罚决定或者人民法院生效司法裁判，可能触及本节规定的重大违法强制退市情形的，应当及时披露有关内容，就其股票可能被实施重大违法强制退市进行风险提示。公司股票自公告披露日起停牌。披露日为</w:t>
      </w:r>
      <w:proofErr w:type="gramStart"/>
      <w:r>
        <w:rPr>
          <w:rFonts w:ascii="仿宋_GB2312" w:eastAsia="仿宋_GB2312" w:hAnsi="黑体" w:hint="eastAsia"/>
          <w:sz w:val="32"/>
          <w:szCs w:val="32"/>
        </w:rPr>
        <w:t>非交易</w:t>
      </w:r>
      <w:proofErr w:type="gramEnd"/>
      <w:r>
        <w:rPr>
          <w:rFonts w:ascii="仿宋_GB2312" w:eastAsia="仿宋_GB2312" w:hAnsi="黑体" w:hint="eastAsia"/>
          <w:sz w:val="32"/>
          <w:szCs w:val="32"/>
        </w:rPr>
        <w:t>日的，自披露日次一交易日起停牌。</w:t>
      </w:r>
    </w:p>
    <w:p w14:paraId="4886CB04"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上市公司未按本条规定及时披露的，</w:t>
      </w:r>
      <w:r>
        <w:rPr>
          <w:rFonts w:ascii="仿宋_GB2312" w:eastAsia="仿宋_GB2312" w:hAnsi="Arial Unicode MS" w:cs="Arial Unicode MS" w:hint="eastAsia"/>
          <w:color w:val="000000"/>
          <w:sz w:val="32"/>
          <w:szCs w:val="32"/>
        </w:rPr>
        <w:t>本所可以在获悉相关情况后对公司股票实施停牌，</w:t>
      </w:r>
      <w:r>
        <w:rPr>
          <w:rFonts w:ascii="仿宋_GB2312" w:eastAsia="仿宋_GB2312" w:hAnsi="黑体" w:hint="eastAsia"/>
          <w:sz w:val="32"/>
          <w:szCs w:val="32"/>
        </w:rPr>
        <w:t>并向市场公告。</w:t>
      </w:r>
    </w:p>
    <w:p w14:paraId="76273F40" w14:textId="77777777" w:rsidR="000C29B8" w:rsidRDefault="00000000">
      <w:pPr>
        <w:numPr>
          <w:ilvl w:val="2"/>
          <w:numId w:val="46"/>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本所根据第12.2.6条对</w:t>
      </w:r>
      <w:r>
        <w:rPr>
          <w:rFonts w:ascii="仿宋_GB2312" w:eastAsia="仿宋_GB2312" w:hAnsi="Arial Unicode MS" w:cs="Arial Unicode MS" w:hint="eastAsia"/>
          <w:color w:val="000000"/>
          <w:sz w:val="32"/>
          <w:szCs w:val="32"/>
        </w:rPr>
        <w:t>上市</w:t>
      </w:r>
      <w:r>
        <w:rPr>
          <w:rFonts w:ascii="仿宋_GB2312" w:eastAsia="仿宋_GB2312" w:hAnsi="黑体" w:hint="eastAsia"/>
          <w:sz w:val="32"/>
          <w:szCs w:val="32"/>
        </w:rPr>
        <w:t>公司股票实施停牌的，自停牌之日起的5个交易日内，向公司发出拟终止其股票上市的事先告知书，公司应当及时披露。</w:t>
      </w:r>
    </w:p>
    <w:p w14:paraId="5AB2828B" w14:textId="77777777" w:rsidR="000C29B8" w:rsidRDefault="00000000">
      <w:pPr>
        <w:numPr>
          <w:ilvl w:val="2"/>
          <w:numId w:val="46"/>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上市公司收到终止上市事先告知书后，可以根据本章第六节的规定提出听证、陈述和申辩。</w:t>
      </w:r>
    </w:p>
    <w:p w14:paraId="0D46F7EC"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本所上市委员会在前款规定的有关期限届满或者听证程序结束后15个交易日内，就是否触及重大违法强制退市情形并终止上市进行审议，</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独立的专业判断并形成审议意见。</w:t>
      </w:r>
    </w:p>
    <w:p w14:paraId="76A1E203" w14:textId="77777777" w:rsidR="000C29B8" w:rsidRDefault="00000000">
      <w:pPr>
        <w:tabs>
          <w:tab w:val="left" w:pos="1560"/>
          <w:tab w:val="left" w:pos="1843"/>
          <w:tab w:val="left" w:pos="1985"/>
          <w:tab w:val="left" w:pos="2127"/>
        </w:tabs>
        <w:snapToGrid w:val="0"/>
        <w:spacing w:line="560" w:lineRule="exact"/>
        <w:rPr>
          <w:rFonts w:ascii="仿宋_GB2312" w:eastAsia="仿宋_GB2312" w:hAnsi="黑体"/>
          <w:sz w:val="32"/>
          <w:szCs w:val="32"/>
        </w:rPr>
      </w:pPr>
      <w:r>
        <w:rPr>
          <w:rFonts w:ascii="仿宋_GB2312" w:eastAsia="仿宋_GB2312" w:hAnsi="黑体" w:hint="eastAsia"/>
          <w:sz w:val="32"/>
          <w:szCs w:val="32"/>
        </w:rPr>
        <w:t xml:space="preserve">    本所根据上市委员会的审议意见，</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是否终止股票上市的决定。</w:t>
      </w:r>
    </w:p>
    <w:p w14:paraId="3B687FA8" w14:textId="77777777" w:rsidR="000C29B8" w:rsidRDefault="00000000">
      <w:pPr>
        <w:numPr>
          <w:ilvl w:val="2"/>
          <w:numId w:val="46"/>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Arial Unicode MS" w:cs="Arial Unicode MS" w:hint="eastAsia"/>
          <w:color w:val="000000"/>
          <w:sz w:val="32"/>
          <w:szCs w:val="32"/>
        </w:rPr>
        <w:t>本所决定不对上市公司股票实施终止上市的，公司应当在收到本所相关决定后，及时披露并申请股票复牌。公司股票不存在其他退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警示情形的，自复牌之日起，本所撤销对公司股票实施的退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w:t>
      </w:r>
    </w:p>
    <w:p w14:paraId="32F61F88" w14:textId="77777777" w:rsidR="000C29B8" w:rsidRDefault="00000000">
      <w:pPr>
        <w:numPr>
          <w:ilvl w:val="2"/>
          <w:numId w:val="46"/>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 xml:space="preserve"> 本所在</w:t>
      </w:r>
      <w:proofErr w:type="gramStart"/>
      <w:r>
        <w:rPr>
          <w:rFonts w:ascii="仿宋_GB2312" w:eastAsia="仿宋_GB2312" w:hAnsi="Arial Unicode MS" w:cs="Arial Unicode MS" w:hint="eastAsia"/>
          <w:color w:val="000000"/>
          <w:sz w:val="32"/>
          <w:szCs w:val="32"/>
        </w:rPr>
        <w:t>作出</w:t>
      </w:r>
      <w:proofErr w:type="gramEnd"/>
      <w:r>
        <w:rPr>
          <w:rFonts w:ascii="仿宋_GB2312" w:eastAsia="仿宋_GB2312" w:hAnsi="Arial Unicode MS" w:cs="Arial Unicode MS" w:hint="eastAsia"/>
          <w:color w:val="000000"/>
          <w:sz w:val="32"/>
          <w:szCs w:val="32"/>
        </w:rPr>
        <w:t>终止股票上市决定之日起2个交易日内，通知上市公司并披露相关公告，同时报中国证监会备案。</w:t>
      </w:r>
    </w:p>
    <w:p w14:paraId="27247388"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上市</w:t>
      </w:r>
      <w:r>
        <w:rPr>
          <w:rFonts w:ascii="仿宋_GB2312" w:eastAsia="仿宋_GB2312" w:hAnsi="黑体" w:hint="eastAsia"/>
          <w:sz w:val="32"/>
          <w:szCs w:val="32"/>
        </w:rPr>
        <w:t>公司应当在收到本所关于终止其股票上市决定后，及时披露股票终止上市公告。</w:t>
      </w:r>
    </w:p>
    <w:p w14:paraId="3C70FB0D"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Arial Unicode MS" w:cs="Arial Unicode MS" w:hint="eastAsia"/>
          <w:color w:val="000000"/>
          <w:sz w:val="32"/>
          <w:szCs w:val="32"/>
        </w:rPr>
        <w:t>上市</w:t>
      </w:r>
      <w:r>
        <w:rPr>
          <w:rFonts w:ascii="仿宋_GB2312" w:eastAsia="仿宋_GB2312" w:hAnsi="黑体" w:hint="eastAsia"/>
          <w:sz w:val="32"/>
          <w:szCs w:val="32"/>
        </w:rPr>
        <w:t>公司可以按照本章第六节的规定申请复核。</w:t>
      </w:r>
    </w:p>
    <w:p w14:paraId="555C08F9" w14:textId="77777777" w:rsidR="000C29B8" w:rsidRDefault="00000000">
      <w:pPr>
        <w:numPr>
          <w:ilvl w:val="2"/>
          <w:numId w:val="46"/>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仿宋" w:cs="Arial"/>
          <w:sz w:val="32"/>
          <w:szCs w:val="32"/>
        </w:rPr>
      </w:pPr>
      <w:r>
        <w:rPr>
          <w:rFonts w:ascii="仿宋_GB2312" w:eastAsia="仿宋_GB2312" w:hAnsi="仿宋" w:cs="Arial" w:hint="eastAsia"/>
          <w:sz w:val="32"/>
          <w:szCs w:val="32"/>
        </w:rPr>
        <w:t>上市公司因重大违法强制退市情形，其股票被终止上市后，作为上市公司重大违法强制退市认定依据的行政处罚决定、司法裁判被依法撤销、确认无效或者因对违法行为性质、违法事实等的认定发生重大变化被依法变更的，公司可以在知道相关行政机关决定或者人民法院生效司法裁判后的10个交易日内，向本所申请撤销对公司股票</w:t>
      </w:r>
      <w:proofErr w:type="gramStart"/>
      <w:r>
        <w:rPr>
          <w:rFonts w:ascii="仿宋_GB2312" w:eastAsia="仿宋_GB2312" w:hAnsi="仿宋" w:cs="Arial" w:hint="eastAsia"/>
          <w:sz w:val="32"/>
          <w:szCs w:val="32"/>
        </w:rPr>
        <w:t>作出</w:t>
      </w:r>
      <w:proofErr w:type="gramEnd"/>
      <w:r>
        <w:rPr>
          <w:rFonts w:ascii="仿宋_GB2312" w:eastAsia="仿宋_GB2312" w:hAnsi="仿宋" w:cs="Arial" w:hint="eastAsia"/>
          <w:sz w:val="32"/>
          <w:szCs w:val="32"/>
        </w:rPr>
        <w:t>的终止上市决定。</w:t>
      </w:r>
    </w:p>
    <w:p w14:paraId="46D11DD6" w14:textId="77777777" w:rsidR="000C29B8" w:rsidRDefault="00000000">
      <w:pPr>
        <w:numPr>
          <w:ilvl w:val="2"/>
          <w:numId w:val="46"/>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仿宋" w:cs="Arial"/>
          <w:sz w:val="32"/>
          <w:szCs w:val="32"/>
        </w:rPr>
      </w:pPr>
      <w:r>
        <w:rPr>
          <w:rFonts w:ascii="仿宋_GB2312" w:eastAsia="仿宋_GB2312" w:hAnsi="仿宋" w:cs="Arial" w:hint="eastAsia"/>
          <w:sz w:val="32"/>
          <w:szCs w:val="32"/>
        </w:rPr>
        <w:t>本所自收到上市公司按照前条规定提出的撤销</w:t>
      </w:r>
      <w:r>
        <w:rPr>
          <w:rFonts w:ascii="仿宋_GB2312" w:eastAsia="仿宋_GB2312" w:hAnsi="仿宋" w:cs="Arial" w:hint="eastAsia"/>
          <w:sz w:val="32"/>
          <w:szCs w:val="32"/>
        </w:rPr>
        <w:lastRenderedPageBreak/>
        <w:t>申请之日起的15个交易日内，召开上市委员会会议，根据</w:t>
      </w:r>
      <w:r>
        <w:rPr>
          <w:rFonts w:ascii="仿宋_GB2312" w:eastAsia="仿宋_GB2312" w:hAnsi="黑体" w:hint="eastAsia"/>
          <w:sz w:val="32"/>
          <w:szCs w:val="32"/>
        </w:rPr>
        <w:t>相关行政机关</w:t>
      </w:r>
      <w:r>
        <w:rPr>
          <w:rFonts w:ascii="仿宋_GB2312" w:eastAsia="仿宋_GB2312" w:hAnsi="仿宋" w:cs="Arial" w:hint="eastAsia"/>
          <w:sz w:val="32"/>
          <w:szCs w:val="32"/>
        </w:rPr>
        <w:t>决定或者人民法院生效司法裁判，审议是否撤销对公司股票</w:t>
      </w:r>
      <w:proofErr w:type="gramStart"/>
      <w:r>
        <w:rPr>
          <w:rFonts w:ascii="仿宋_GB2312" w:eastAsia="仿宋_GB2312" w:hAnsi="仿宋" w:cs="Arial" w:hint="eastAsia"/>
          <w:sz w:val="32"/>
          <w:szCs w:val="32"/>
        </w:rPr>
        <w:t>作出</w:t>
      </w:r>
      <w:proofErr w:type="gramEnd"/>
      <w:r>
        <w:rPr>
          <w:rFonts w:ascii="仿宋_GB2312" w:eastAsia="仿宋_GB2312" w:hAnsi="仿宋" w:cs="Arial" w:hint="eastAsia"/>
          <w:sz w:val="32"/>
          <w:szCs w:val="32"/>
        </w:rPr>
        <w:t>的终止上市决定，并形成审议意见。</w:t>
      </w:r>
    </w:p>
    <w:p w14:paraId="5F726B5D" w14:textId="77777777" w:rsidR="000C29B8" w:rsidRDefault="00000000">
      <w:pPr>
        <w:spacing w:line="560" w:lineRule="exact"/>
        <w:ind w:firstLineChars="200" w:firstLine="640"/>
        <w:rPr>
          <w:rFonts w:ascii="仿宋_GB2312" w:eastAsia="仿宋_GB2312" w:hAnsi="仿宋" w:cs="Arial"/>
          <w:sz w:val="32"/>
          <w:szCs w:val="32"/>
        </w:rPr>
      </w:pPr>
      <w:r>
        <w:rPr>
          <w:rFonts w:ascii="仿宋_GB2312" w:eastAsia="仿宋_GB2312" w:hAnsi="仿宋" w:cs="Arial" w:hint="eastAsia"/>
          <w:sz w:val="32"/>
          <w:szCs w:val="32"/>
        </w:rPr>
        <w:t>本所根据上市委员会的审议意见，</w:t>
      </w:r>
      <w:proofErr w:type="gramStart"/>
      <w:r>
        <w:rPr>
          <w:rFonts w:ascii="仿宋_GB2312" w:eastAsia="仿宋_GB2312" w:hAnsi="仿宋" w:cs="Arial" w:hint="eastAsia"/>
          <w:sz w:val="32"/>
          <w:szCs w:val="32"/>
        </w:rPr>
        <w:t>作出</w:t>
      </w:r>
      <w:proofErr w:type="gramEnd"/>
      <w:r>
        <w:rPr>
          <w:rFonts w:ascii="仿宋_GB2312" w:eastAsia="仿宋_GB2312" w:hAnsi="仿宋" w:cs="Arial" w:hint="eastAsia"/>
          <w:sz w:val="32"/>
          <w:szCs w:val="32"/>
        </w:rPr>
        <w:t>是否撤销对公司股票</w:t>
      </w:r>
      <w:proofErr w:type="gramStart"/>
      <w:r>
        <w:rPr>
          <w:rFonts w:ascii="仿宋_GB2312" w:eastAsia="仿宋_GB2312" w:hAnsi="仿宋" w:cs="Arial" w:hint="eastAsia"/>
          <w:sz w:val="32"/>
          <w:szCs w:val="32"/>
        </w:rPr>
        <w:t>作出</w:t>
      </w:r>
      <w:proofErr w:type="gramEnd"/>
      <w:r>
        <w:rPr>
          <w:rFonts w:ascii="仿宋_GB2312" w:eastAsia="仿宋_GB2312" w:hAnsi="仿宋" w:cs="Arial" w:hint="eastAsia"/>
          <w:sz w:val="32"/>
          <w:szCs w:val="32"/>
        </w:rPr>
        <w:t>的终止上市决定的决定。</w:t>
      </w:r>
    </w:p>
    <w:p w14:paraId="438DB9B5" w14:textId="77777777" w:rsidR="000C29B8" w:rsidRDefault="00000000">
      <w:pPr>
        <w:numPr>
          <w:ilvl w:val="2"/>
          <w:numId w:val="46"/>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黑体"/>
          <w:i/>
          <w:sz w:val="32"/>
          <w:szCs w:val="32"/>
        </w:rPr>
      </w:pPr>
      <w:r>
        <w:rPr>
          <w:rFonts w:ascii="仿宋_GB2312" w:eastAsia="仿宋_GB2312" w:hAnsi="仿宋" w:cs="Arial" w:hint="eastAsia"/>
          <w:sz w:val="32"/>
          <w:szCs w:val="32"/>
        </w:rPr>
        <w:t>本所</w:t>
      </w:r>
      <w:proofErr w:type="gramStart"/>
      <w:r>
        <w:rPr>
          <w:rFonts w:ascii="仿宋_GB2312" w:eastAsia="仿宋_GB2312" w:hAnsi="仿宋" w:cs="Arial" w:hint="eastAsia"/>
          <w:sz w:val="32"/>
          <w:szCs w:val="32"/>
        </w:rPr>
        <w:t>作出</w:t>
      </w:r>
      <w:proofErr w:type="gramEnd"/>
      <w:r>
        <w:rPr>
          <w:rFonts w:ascii="仿宋_GB2312" w:eastAsia="仿宋_GB2312" w:hAnsi="仿宋" w:cs="Arial" w:hint="eastAsia"/>
          <w:sz w:val="32"/>
          <w:szCs w:val="32"/>
        </w:rPr>
        <w:t>撤销终止上市决定的，公司股票相应还原上市地位。公司股票同时具有其他的风险警示或者终止上市情形，本所对其股票实施相应风险警示或者终止上市。</w:t>
      </w:r>
    </w:p>
    <w:p w14:paraId="2F1A3650"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仿宋" w:cs="Arial" w:hint="eastAsia"/>
          <w:sz w:val="32"/>
          <w:szCs w:val="32"/>
        </w:rPr>
        <w:t>本所在</w:t>
      </w:r>
      <w:proofErr w:type="gramStart"/>
      <w:r>
        <w:rPr>
          <w:rFonts w:ascii="仿宋_GB2312" w:eastAsia="仿宋_GB2312" w:hAnsi="仿宋" w:cs="Arial" w:hint="eastAsia"/>
          <w:sz w:val="32"/>
          <w:szCs w:val="32"/>
        </w:rPr>
        <w:t>作出</w:t>
      </w:r>
      <w:proofErr w:type="gramEnd"/>
      <w:r>
        <w:rPr>
          <w:rFonts w:ascii="仿宋_GB2312" w:eastAsia="仿宋_GB2312" w:hAnsi="仿宋" w:cs="Arial" w:hint="eastAsia"/>
          <w:sz w:val="32"/>
          <w:szCs w:val="32"/>
        </w:rPr>
        <w:t>撤销决定之日起2个交易日内，通知公司并披露相关公告，同时报中国证监会备案。</w:t>
      </w:r>
    </w:p>
    <w:p w14:paraId="1BA26193" w14:textId="77777777" w:rsidR="000C29B8" w:rsidRDefault="00000000">
      <w:pPr>
        <w:numPr>
          <w:ilvl w:val="2"/>
          <w:numId w:val="46"/>
        </w:numPr>
        <w:tabs>
          <w:tab w:val="clear" w:pos="1844"/>
          <w:tab w:val="left" w:pos="1560"/>
          <w:tab w:val="left" w:pos="1843"/>
          <w:tab w:val="left" w:pos="1985"/>
          <w:tab w:val="left" w:pos="2127"/>
        </w:tabs>
        <w:snapToGrid w:val="0"/>
        <w:spacing w:line="560" w:lineRule="exact"/>
        <w:ind w:left="0" w:firstLineChars="200" w:firstLine="640"/>
        <w:rPr>
          <w:rFonts w:ascii="仿宋_GB2312" w:eastAsia="仿宋_GB2312" w:hAnsi="仿宋" w:cs="Arial"/>
          <w:sz w:val="32"/>
          <w:szCs w:val="32"/>
        </w:rPr>
      </w:pPr>
      <w:r>
        <w:rPr>
          <w:rFonts w:ascii="仿宋_GB2312" w:eastAsia="仿宋_GB2312" w:hAnsi="黑体" w:hint="eastAsia"/>
          <w:sz w:val="32"/>
          <w:szCs w:val="32"/>
        </w:rPr>
        <w:t>公司可以在收到本所撤销决定之日起</w:t>
      </w:r>
      <w:r>
        <w:rPr>
          <w:rFonts w:ascii="仿宋_GB2312" w:eastAsia="仿宋_GB2312" w:hAnsi="黑体"/>
          <w:sz w:val="32"/>
          <w:szCs w:val="32"/>
        </w:rPr>
        <w:t>20个交易日内，向本所申请</w:t>
      </w:r>
      <w:r>
        <w:rPr>
          <w:rFonts w:ascii="仿宋_GB2312" w:eastAsia="仿宋_GB2312" w:hAnsi="黑体" w:hint="eastAsia"/>
          <w:sz w:val="32"/>
          <w:szCs w:val="32"/>
        </w:rPr>
        <w:t>还原</w:t>
      </w:r>
      <w:r>
        <w:rPr>
          <w:rFonts w:ascii="仿宋_GB2312" w:eastAsia="仿宋_GB2312" w:hAnsi="黑体"/>
          <w:sz w:val="32"/>
          <w:szCs w:val="32"/>
        </w:rPr>
        <w:t>上市地位。</w:t>
      </w:r>
      <w:r>
        <w:rPr>
          <w:rFonts w:ascii="仿宋_GB2312" w:eastAsia="仿宋_GB2312" w:hAnsi="仿宋" w:cs="Arial" w:hint="eastAsia"/>
          <w:sz w:val="32"/>
          <w:szCs w:val="32"/>
        </w:rPr>
        <w:t>公司股份已经转入</w:t>
      </w:r>
      <w:r>
        <w:rPr>
          <w:rFonts w:ascii="仿宋_GB2312" w:eastAsia="仿宋_GB2312" w:hAnsi="黑体" w:hint="eastAsia"/>
          <w:sz w:val="32"/>
          <w:szCs w:val="32"/>
        </w:rPr>
        <w:t>全国中小企业股份转让系统等</w:t>
      </w:r>
      <w:r>
        <w:rPr>
          <w:rFonts w:ascii="仿宋_GB2312" w:eastAsia="仿宋_GB2312" w:hAnsi="黑体"/>
          <w:sz w:val="32"/>
          <w:szCs w:val="32"/>
        </w:rPr>
        <w:t>证券交易场所</w:t>
      </w:r>
      <w:r>
        <w:rPr>
          <w:rFonts w:ascii="仿宋_GB2312" w:eastAsia="仿宋_GB2312" w:hAnsi="仿宋" w:cs="Arial" w:hint="eastAsia"/>
          <w:sz w:val="32"/>
          <w:szCs w:val="32"/>
        </w:rPr>
        <w:t>转让的，本所在公司办理完毕其股份的重新确认、登记、托管等相关手续后安排其股票上市交易。</w:t>
      </w:r>
    </w:p>
    <w:p w14:paraId="3F85F4F5" w14:textId="77777777" w:rsidR="000C29B8" w:rsidRDefault="00000000">
      <w:pPr>
        <w:tabs>
          <w:tab w:val="left" w:pos="1560"/>
          <w:tab w:val="left" w:pos="1843"/>
          <w:tab w:val="left" w:pos="1985"/>
          <w:tab w:val="left" w:pos="2127"/>
        </w:tabs>
        <w:snapToGrid w:val="0"/>
        <w:spacing w:line="560" w:lineRule="exact"/>
        <w:ind w:firstLine="640"/>
        <w:rPr>
          <w:rFonts w:ascii="仿宋_GB2312" w:eastAsia="仿宋_GB2312" w:hAnsi="仿宋" w:cs="Arial"/>
          <w:sz w:val="32"/>
          <w:szCs w:val="32"/>
        </w:rPr>
      </w:pPr>
      <w:r>
        <w:rPr>
          <w:rFonts w:ascii="仿宋_GB2312" w:eastAsia="仿宋_GB2312" w:hAnsi="仿宋" w:cs="Arial" w:hint="eastAsia"/>
          <w:sz w:val="32"/>
          <w:szCs w:val="32"/>
        </w:rPr>
        <w:t>公司应当在其股票还原上市地位前与本所重新签订上市协议，明确双方的权利、义务及其他有关事项。公司控股股东、实际控制人、董事、监事和高级管理人员等应当签署并提交相应声明与承诺，其所持股份在公司股票恢复正常交易时的流通或者限售安排，应当按照法律法规、本规则以及本所有关规定执行。</w:t>
      </w:r>
    </w:p>
    <w:p w14:paraId="11132975"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仿宋" w:cs="Arial"/>
          <w:sz w:val="32"/>
          <w:szCs w:val="32"/>
        </w:rPr>
      </w:pPr>
      <w:r>
        <w:rPr>
          <w:rFonts w:ascii="仿宋_GB2312" w:eastAsia="仿宋_GB2312" w:hAnsi="仿宋" w:cs="Arial" w:hint="eastAsia"/>
          <w:sz w:val="32"/>
          <w:szCs w:val="32"/>
        </w:rPr>
        <w:t>公司股票还原上市地位首日不设涨跌幅。</w:t>
      </w:r>
    </w:p>
    <w:p w14:paraId="272A27CD" w14:textId="77777777" w:rsidR="000C29B8" w:rsidRDefault="00000000">
      <w:pPr>
        <w:pStyle w:val="23"/>
      </w:pPr>
      <w:bookmarkStart w:id="665" w:name="_Toc21001"/>
      <w:r>
        <w:rPr>
          <w:rFonts w:hint="eastAsia"/>
        </w:rPr>
        <w:t>第三节  交易类强制退市</w:t>
      </w:r>
      <w:bookmarkEnd w:id="665"/>
    </w:p>
    <w:p w14:paraId="1745A317" w14:textId="77777777" w:rsidR="000C29B8" w:rsidRDefault="00000000">
      <w:pPr>
        <w:numPr>
          <w:ilvl w:val="2"/>
          <w:numId w:val="47"/>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上市公司出现下列情形之一的，本所决定终止其</w:t>
      </w:r>
      <w:r>
        <w:rPr>
          <w:rFonts w:ascii="仿宋_GB2312" w:eastAsia="仿宋_GB2312" w:hAnsi="黑体" w:hint="eastAsia"/>
          <w:sz w:val="32"/>
          <w:szCs w:val="32"/>
        </w:rPr>
        <w:lastRenderedPageBreak/>
        <w:t>股票上市：</w:t>
      </w:r>
    </w:p>
    <w:p w14:paraId="658E64FF" w14:textId="77777777" w:rsidR="000C29B8" w:rsidRDefault="00000000">
      <w:pPr>
        <w:pStyle w:val="af2"/>
        <w:shd w:val="clear" w:color="auto" w:fill="FFFFFF"/>
        <w:spacing w:before="0" w:beforeAutospacing="0" w:after="0" w:afterAutospacing="0"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（一）</w:t>
      </w:r>
      <w:r>
        <w:rPr>
          <w:rFonts w:ascii="仿宋_GB2312" w:eastAsia="仿宋_GB2312" w:hAnsi="Arial Unicode MS" w:cs="Arial Unicode MS" w:hint="eastAsia"/>
          <w:color w:val="000000"/>
          <w:sz w:val="32"/>
          <w:szCs w:val="32"/>
        </w:rPr>
        <w:t>通过本所交易系统连续120个交易日实现的累计股票成交量低于200万股</w:t>
      </w:r>
      <w:r>
        <w:rPr>
          <w:rFonts w:ascii="仿宋_GB2312" w:eastAsia="仿宋_GB2312" w:hAnsi="黑体" w:hint="eastAsia"/>
          <w:sz w:val="32"/>
          <w:szCs w:val="32"/>
        </w:rPr>
        <w:t>；</w:t>
      </w:r>
    </w:p>
    <w:p w14:paraId="22C57AF5"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（二）连续20个交易日每日股票收盘价均低于1元；</w:t>
      </w:r>
    </w:p>
    <w:p w14:paraId="0D0AC733"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（三）连续20个交易日在本所的每日股票收盘市值均低于</w:t>
      </w:r>
      <w:r>
        <w:rPr>
          <w:rFonts w:ascii="仿宋_GB2312" w:eastAsia="仿宋_GB2312" w:hAnsi="黑体"/>
          <w:sz w:val="32"/>
          <w:szCs w:val="32"/>
        </w:rPr>
        <w:t>3</w:t>
      </w:r>
      <w:r>
        <w:rPr>
          <w:rFonts w:ascii="仿宋_GB2312" w:eastAsia="仿宋_GB2312" w:hAnsi="黑体" w:hint="eastAsia"/>
          <w:sz w:val="32"/>
          <w:szCs w:val="32"/>
        </w:rPr>
        <w:t>亿元；</w:t>
      </w:r>
    </w:p>
    <w:p w14:paraId="718899DC"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（四）连续20个交易日每日股东数量均低于4</w:t>
      </w:r>
      <w:r>
        <w:rPr>
          <w:rFonts w:ascii="仿宋_GB2312" w:eastAsia="仿宋_GB2312" w:hAnsi="黑体"/>
          <w:sz w:val="32"/>
          <w:szCs w:val="32"/>
        </w:rPr>
        <w:t>00</w:t>
      </w:r>
      <w:r>
        <w:rPr>
          <w:rFonts w:ascii="仿宋_GB2312" w:eastAsia="仿宋_GB2312" w:hAnsi="黑体" w:hint="eastAsia"/>
          <w:sz w:val="32"/>
          <w:szCs w:val="32"/>
        </w:rPr>
        <w:t>人；</w:t>
      </w:r>
    </w:p>
    <w:p w14:paraId="20837ED1"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（五）本所认定的其他情形。</w:t>
      </w:r>
    </w:p>
    <w:p w14:paraId="6FA4CEFF"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前款规定的交易日，不包含公司股票</w:t>
      </w:r>
      <w:proofErr w:type="gramStart"/>
      <w:r>
        <w:rPr>
          <w:rFonts w:ascii="仿宋_GB2312" w:eastAsia="仿宋_GB2312" w:hAnsi="黑体" w:hint="eastAsia"/>
          <w:sz w:val="32"/>
          <w:szCs w:val="32"/>
        </w:rPr>
        <w:t>停牌日</w:t>
      </w:r>
      <w:proofErr w:type="gramEnd"/>
      <w:r>
        <w:rPr>
          <w:rFonts w:ascii="仿宋_GB2312" w:eastAsia="仿宋_GB2312" w:hAnsi="黑体" w:hint="eastAsia"/>
          <w:sz w:val="32"/>
          <w:szCs w:val="32"/>
        </w:rPr>
        <w:t>和公司首次公开发行股票上市之日起的20个交易日。</w:t>
      </w:r>
    </w:p>
    <w:p w14:paraId="20A5F9E2"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红</w:t>
      </w:r>
      <w:proofErr w:type="gramStart"/>
      <w:r>
        <w:rPr>
          <w:rFonts w:ascii="仿宋_GB2312" w:eastAsia="仿宋_GB2312" w:hAnsi="黑体" w:hint="eastAsia"/>
          <w:sz w:val="32"/>
          <w:szCs w:val="32"/>
        </w:rPr>
        <w:t>筹企业</w:t>
      </w:r>
      <w:proofErr w:type="gramEnd"/>
      <w:r>
        <w:rPr>
          <w:rFonts w:ascii="仿宋_GB2312" w:eastAsia="仿宋_GB2312" w:hAnsi="黑体" w:hint="eastAsia"/>
          <w:sz w:val="32"/>
          <w:szCs w:val="32"/>
        </w:rPr>
        <w:t>发行存托凭证的，第一款第一项调整为通过本所交易系统连续120个交易日实现的累计存托凭证成交量低于200万份；第一款第二项调整为连续20个交易日每日存托凭证收盘价乘以存托凭证与基础股票转换比例后的数值均低于1元；第一款第三项调整为连续20个交易日每日存托凭证收盘市值均低于</w:t>
      </w:r>
      <w:r>
        <w:rPr>
          <w:rFonts w:ascii="仿宋_GB2312" w:eastAsia="仿宋_GB2312" w:hAnsi="黑体"/>
          <w:sz w:val="32"/>
          <w:szCs w:val="32"/>
        </w:rPr>
        <w:t>3</w:t>
      </w:r>
      <w:r>
        <w:rPr>
          <w:rFonts w:ascii="仿宋_GB2312" w:eastAsia="仿宋_GB2312" w:hAnsi="黑体" w:hint="eastAsia"/>
          <w:sz w:val="32"/>
          <w:szCs w:val="32"/>
        </w:rPr>
        <w:t>亿元；不适用第一款第四项的规定。</w:t>
      </w:r>
    </w:p>
    <w:p w14:paraId="1A7026A6"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证券市场出现重大异常波动等情形的，本所可以根据实际情况调整本条规定的交易指标。</w:t>
      </w:r>
    </w:p>
    <w:p w14:paraId="5B877616" w14:textId="77777777" w:rsidR="000C29B8" w:rsidRDefault="00000000">
      <w:pPr>
        <w:numPr>
          <w:ilvl w:val="2"/>
          <w:numId w:val="47"/>
        </w:numPr>
        <w:tabs>
          <w:tab w:val="clear" w:pos="1418"/>
          <w:tab w:val="left" w:pos="0"/>
          <w:tab w:val="left" w:pos="1560"/>
        </w:tabs>
        <w:snapToGrid w:val="0"/>
        <w:spacing w:line="560" w:lineRule="exact"/>
        <w:ind w:left="0"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上市公司出现连续</w:t>
      </w:r>
      <w:r>
        <w:rPr>
          <w:rFonts w:ascii="仿宋_GB2312" w:eastAsia="仿宋_GB2312" w:hAnsi="Arial Unicode MS" w:cs="Arial Unicode MS"/>
          <w:color w:val="000000"/>
          <w:sz w:val="32"/>
          <w:szCs w:val="32"/>
        </w:rPr>
        <w:t>90个交易</w:t>
      </w:r>
      <w:r>
        <w:rPr>
          <w:rFonts w:ascii="仿宋_GB2312" w:eastAsia="仿宋_GB2312" w:hAnsi="Arial Unicode MS" w:cs="Arial Unicode MS" w:hint="eastAsia"/>
          <w:color w:val="000000"/>
          <w:sz w:val="32"/>
          <w:szCs w:val="32"/>
        </w:rPr>
        <w:t>日通过本所交易系统实现的累计股票成交量低于150</w:t>
      </w:r>
      <w:r>
        <w:rPr>
          <w:rFonts w:ascii="仿宋_GB2312" w:eastAsia="仿宋_GB2312" w:hAnsi="Arial Unicode MS" w:cs="Arial Unicode MS"/>
          <w:color w:val="000000"/>
          <w:sz w:val="32"/>
          <w:szCs w:val="32"/>
        </w:rPr>
        <w:t>万股的，应</w:t>
      </w:r>
      <w:r>
        <w:rPr>
          <w:rFonts w:ascii="仿宋_GB2312" w:eastAsia="仿宋_GB2312" w:hAnsi="Arial Unicode MS" w:cs="Arial Unicode MS" w:hint="eastAsia"/>
          <w:color w:val="000000"/>
          <w:sz w:val="32"/>
          <w:szCs w:val="32"/>
        </w:rPr>
        <w:t>当</w:t>
      </w:r>
      <w:r>
        <w:rPr>
          <w:rFonts w:ascii="仿宋_GB2312" w:eastAsia="仿宋_GB2312" w:hAnsi="Arial Unicode MS" w:cs="Arial Unicode MS"/>
          <w:color w:val="000000"/>
          <w:sz w:val="32"/>
          <w:szCs w:val="32"/>
        </w:rPr>
        <w:t>在</w:t>
      </w:r>
      <w:r>
        <w:rPr>
          <w:rFonts w:ascii="仿宋_GB2312" w:eastAsia="仿宋_GB2312" w:hAnsi="Arial Unicode MS" w:cs="Arial Unicode MS" w:hint="eastAsia"/>
          <w:color w:val="000000"/>
          <w:sz w:val="32"/>
          <w:szCs w:val="32"/>
        </w:rPr>
        <w:t>次</w:t>
      </w:r>
      <w:r>
        <w:rPr>
          <w:rFonts w:ascii="仿宋_GB2312" w:eastAsia="仿宋_GB2312" w:hAnsi="Arial Unicode MS" w:cs="Arial Unicode MS"/>
          <w:color w:val="000000"/>
          <w:sz w:val="32"/>
          <w:szCs w:val="32"/>
        </w:rPr>
        <w:t>一交易日</w:t>
      </w:r>
      <w:r>
        <w:rPr>
          <w:rFonts w:ascii="仿宋_GB2312" w:eastAsia="仿宋_GB2312" w:hAnsi="Arial Unicode MS" w:cs="Arial Unicode MS" w:hint="eastAsia"/>
          <w:color w:val="000000"/>
          <w:sz w:val="32"/>
          <w:szCs w:val="32"/>
        </w:rPr>
        <w:t>披露</w:t>
      </w:r>
      <w:r>
        <w:rPr>
          <w:rFonts w:ascii="仿宋_GB2312" w:eastAsia="仿宋_GB2312" w:hAnsi="Arial Unicode MS" w:cs="Arial Unicode MS"/>
          <w:color w:val="000000"/>
          <w:sz w:val="32"/>
          <w:szCs w:val="32"/>
        </w:rPr>
        <w:t>公司股票可能被终止上市的风险提示公告，其后每个交易日披露一次，直至自上述起算时点起连续120个交易日内通过本所交易系统实现的累计成交量</w:t>
      </w:r>
      <w:r>
        <w:rPr>
          <w:rFonts w:ascii="仿宋_GB2312" w:eastAsia="仿宋_GB2312" w:hAnsi="Arial Unicode MS" w:cs="Arial Unicode MS" w:hint="eastAsia"/>
          <w:color w:val="000000"/>
          <w:sz w:val="32"/>
          <w:szCs w:val="32"/>
        </w:rPr>
        <w:t>达到2</w:t>
      </w:r>
      <w:r>
        <w:rPr>
          <w:rFonts w:ascii="仿宋_GB2312" w:eastAsia="仿宋_GB2312" w:hAnsi="Arial Unicode MS" w:cs="Arial Unicode MS"/>
          <w:color w:val="000000"/>
          <w:sz w:val="32"/>
          <w:szCs w:val="32"/>
        </w:rPr>
        <w:t>00万股</w:t>
      </w:r>
      <w:r>
        <w:rPr>
          <w:rFonts w:ascii="仿宋_GB2312" w:eastAsia="仿宋_GB2312" w:hAnsi="Arial Unicode MS" w:cs="Arial Unicode MS" w:hint="eastAsia"/>
          <w:color w:val="000000"/>
          <w:sz w:val="32"/>
          <w:szCs w:val="32"/>
        </w:rPr>
        <w:t>以上</w:t>
      </w:r>
      <w:r>
        <w:rPr>
          <w:rFonts w:ascii="仿宋_GB2312" w:eastAsia="仿宋_GB2312" w:hAnsi="Arial Unicode MS" w:cs="Arial Unicode MS"/>
          <w:color w:val="000000"/>
          <w:sz w:val="32"/>
          <w:szCs w:val="32"/>
        </w:rPr>
        <w:t>或</w:t>
      </w:r>
      <w:r>
        <w:rPr>
          <w:rFonts w:ascii="仿宋_GB2312" w:eastAsia="仿宋_GB2312" w:hAnsi="Arial Unicode MS" w:cs="Arial Unicode MS" w:hint="eastAsia"/>
          <w:color w:val="000000"/>
          <w:sz w:val="32"/>
          <w:szCs w:val="32"/>
        </w:rPr>
        <w:t>者出现终止上市情形之日止（以先达到的日期为准）。</w:t>
      </w:r>
    </w:p>
    <w:p w14:paraId="76CA0447" w14:textId="77777777" w:rsidR="000C29B8" w:rsidRDefault="00000000">
      <w:pPr>
        <w:tabs>
          <w:tab w:val="left" w:pos="0"/>
          <w:tab w:val="left" w:pos="1560"/>
        </w:tabs>
        <w:snapToGrid w:val="0"/>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lastRenderedPageBreak/>
        <w:t>在本所发行存托凭证的红</w:t>
      </w:r>
      <w:proofErr w:type="gramStart"/>
      <w:r>
        <w:rPr>
          <w:rFonts w:ascii="仿宋_GB2312" w:eastAsia="仿宋_GB2312" w:hAnsi="Arial Unicode MS" w:cs="Arial Unicode MS" w:hint="eastAsia"/>
          <w:color w:val="000000"/>
          <w:sz w:val="32"/>
          <w:szCs w:val="32"/>
        </w:rPr>
        <w:t>筹企业</w:t>
      </w:r>
      <w:proofErr w:type="gramEnd"/>
      <w:r>
        <w:rPr>
          <w:rFonts w:ascii="仿宋_GB2312" w:eastAsia="仿宋_GB2312" w:hAnsi="Arial Unicode MS" w:cs="Arial Unicode MS" w:hint="eastAsia"/>
          <w:color w:val="000000"/>
          <w:sz w:val="32"/>
          <w:szCs w:val="32"/>
        </w:rPr>
        <w:t>出现连续90个交易日通过本所交易系统实现的累计存托凭证成交量低于150万份的，应当在次一交易日披露公司存托凭证可能被终止上市的风险提示公告，其后每个交易日披露一次，直至自上述起算时点起连续120个交易日内通过本所交易系统实现的累计成交量达到200万份以上或者出现终止上市情形之日止（以先达到的日期为准）。</w:t>
      </w:r>
    </w:p>
    <w:p w14:paraId="3F131346" w14:textId="77777777" w:rsidR="000C29B8" w:rsidRDefault="00000000">
      <w:pPr>
        <w:tabs>
          <w:tab w:val="left" w:pos="0"/>
          <w:tab w:val="left" w:pos="1560"/>
        </w:tabs>
        <w:snapToGrid w:val="0"/>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本所可以根据实际情况，对上述风险提示标准进行调整。</w:t>
      </w:r>
    </w:p>
    <w:p w14:paraId="59D74B74" w14:textId="77777777" w:rsidR="000C29B8" w:rsidRDefault="00000000">
      <w:pPr>
        <w:numPr>
          <w:ilvl w:val="2"/>
          <w:numId w:val="47"/>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上市公司首次出现下列情形之一的，应当在次一交易日披露公司股票可能被终止上市的风险提示公告：</w:t>
      </w:r>
    </w:p>
    <w:p w14:paraId="337697FA" w14:textId="77777777" w:rsidR="000C29B8" w:rsidRDefault="00000000">
      <w:pPr>
        <w:numPr>
          <w:ilvl w:val="0"/>
          <w:numId w:val="48"/>
        </w:numPr>
        <w:tabs>
          <w:tab w:val="left" w:pos="0"/>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股票收盘价低于1元；</w:t>
      </w:r>
    </w:p>
    <w:p w14:paraId="67B12ECE" w14:textId="77777777" w:rsidR="000C29B8" w:rsidRDefault="00000000">
      <w:pPr>
        <w:tabs>
          <w:tab w:val="left" w:pos="0"/>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（二）在本所的股票收盘市值低于</w:t>
      </w:r>
      <w:r>
        <w:rPr>
          <w:rFonts w:ascii="仿宋_GB2312" w:eastAsia="仿宋_GB2312" w:hAnsi="黑体"/>
          <w:sz w:val="32"/>
          <w:szCs w:val="32"/>
        </w:rPr>
        <w:t>3</w:t>
      </w:r>
      <w:r>
        <w:rPr>
          <w:rFonts w:ascii="仿宋_GB2312" w:eastAsia="仿宋_GB2312" w:hAnsi="黑体" w:hint="eastAsia"/>
          <w:sz w:val="32"/>
          <w:szCs w:val="32"/>
        </w:rPr>
        <w:t xml:space="preserve">亿元。 </w:t>
      </w:r>
    </w:p>
    <w:p w14:paraId="135D7EA3" w14:textId="77777777" w:rsidR="000C29B8" w:rsidRDefault="00000000">
      <w:pPr>
        <w:tabs>
          <w:tab w:val="left" w:pos="0"/>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Arial Unicode MS" w:cs="Arial Unicode MS" w:hint="eastAsia"/>
          <w:color w:val="000000"/>
          <w:sz w:val="32"/>
          <w:szCs w:val="32"/>
        </w:rPr>
        <w:t>上市公司连续</w:t>
      </w:r>
      <w:r>
        <w:rPr>
          <w:rFonts w:ascii="仿宋_GB2312" w:eastAsia="仿宋_GB2312" w:hAnsi="Arial Unicode MS" w:cs="Arial Unicode MS"/>
          <w:color w:val="000000"/>
          <w:sz w:val="32"/>
          <w:szCs w:val="32"/>
        </w:rPr>
        <w:t>10个交易日出现下列情形之一的，应当在</w:t>
      </w:r>
      <w:r>
        <w:rPr>
          <w:rFonts w:ascii="仿宋_GB2312" w:eastAsia="仿宋_GB2312" w:hAnsi="Arial Unicode MS" w:cs="Arial Unicode MS" w:hint="eastAsia"/>
          <w:color w:val="000000"/>
          <w:sz w:val="32"/>
          <w:szCs w:val="32"/>
        </w:rPr>
        <w:t>次</w:t>
      </w:r>
      <w:r>
        <w:rPr>
          <w:rFonts w:ascii="仿宋_GB2312" w:eastAsia="仿宋_GB2312" w:hAnsi="Arial Unicode MS" w:cs="Arial Unicode MS"/>
          <w:color w:val="000000"/>
          <w:sz w:val="32"/>
          <w:szCs w:val="32"/>
        </w:rPr>
        <w:t>一交易日</w:t>
      </w:r>
      <w:r>
        <w:rPr>
          <w:rFonts w:ascii="仿宋_GB2312" w:eastAsia="仿宋_GB2312" w:hAnsi="Arial Unicode MS" w:cs="Arial Unicode MS" w:hint="eastAsia"/>
          <w:color w:val="000000"/>
          <w:sz w:val="32"/>
          <w:szCs w:val="32"/>
        </w:rPr>
        <w:t>披露</w:t>
      </w:r>
      <w:r>
        <w:rPr>
          <w:rFonts w:ascii="仿宋_GB2312" w:eastAsia="仿宋_GB2312" w:hAnsi="Arial Unicode MS" w:cs="Arial Unicode MS"/>
          <w:color w:val="000000"/>
          <w:sz w:val="32"/>
          <w:szCs w:val="32"/>
        </w:rPr>
        <w:t>公司股票可能被终止上市的风险提示公告，其后每个交易日披露一次，直至相应的情形消除或者</w:t>
      </w:r>
      <w:r>
        <w:rPr>
          <w:rFonts w:ascii="仿宋_GB2312" w:eastAsia="仿宋_GB2312" w:hAnsi="Arial Unicode MS" w:cs="Arial Unicode MS" w:hint="eastAsia"/>
          <w:color w:val="000000"/>
          <w:sz w:val="32"/>
          <w:szCs w:val="32"/>
        </w:rPr>
        <w:t>出现终止上市情形之日止</w:t>
      </w:r>
      <w:r>
        <w:rPr>
          <w:rFonts w:ascii="仿宋_GB2312" w:eastAsia="仿宋_GB2312" w:hAnsi="Arial Unicode MS" w:cs="Arial Unicode MS"/>
          <w:color w:val="000000"/>
          <w:sz w:val="32"/>
          <w:szCs w:val="32"/>
        </w:rPr>
        <w:t>（以先达到的日期为准）：</w:t>
      </w:r>
    </w:p>
    <w:p w14:paraId="04CFF8FA"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（一）每日股票收盘价均低于</w:t>
      </w:r>
      <w:r>
        <w:rPr>
          <w:rFonts w:ascii="仿宋_GB2312" w:eastAsia="仿宋_GB2312" w:hAnsi="黑体" w:hint="eastAsia"/>
          <w:sz w:val="32"/>
          <w:szCs w:val="32"/>
        </w:rPr>
        <w:t>1元</w:t>
      </w:r>
      <w:r>
        <w:rPr>
          <w:rFonts w:ascii="仿宋_GB2312" w:eastAsia="仿宋_GB2312" w:hAnsi="Arial Unicode MS" w:cs="Arial Unicode MS" w:hint="eastAsia"/>
          <w:color w:val="000000"/>
          <w:sz w:val="32"/>
          <w:szCs w:val="32"/>
        </w:rPr>
        <w:t>；</w:t>
      </w:r>
    </w:p>
    <w:p w14:paraId="398F466B"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（二）在本所的每日股票收盘市值均低于</w:t>
      </w:r>
      <w:r>
        <w:rPr>
          <w:rFonts w:ascii="仿宋_GB2312" w:eastAsia="仿宋_GB2312" w:hAnsi="黑体"/>
          <w:sz w:val="32"/>
          <w:szCs w:val="32"/>
        </w:rPr>
        <w:t>3亿元；</w:t>
      </w:r>
    </w:p>
    <w:p w14:paraId="488D482B"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（三）每日股东数量均低于4</w:t>
      </w:r>
      <w:r>
        <w:rPr>
          <w:rFonts w:ascii="仿宋_GB2312" w:eastAsia="仿宋_GB2312" w:hAnsi="黑体"/>
          <w:sz w:val="32"/>
          <w:szCs w:val="32"/>
        </w:rPr>
        <w:t>00</w:t>
      </w:r>
      <w:r>
        <w:rPr>
          <w:rFonts w:ascii="仿宋_GB2312" w:eastAsia="仿宋_GB2312" w:hAnsi="黑体" w:hint="eastAsia"/>
          <w:sz w:val="32"/>
          <w:szCs w:val="32"/>
        </w:rPr>
        <w:t>人。</w:t>
      </w:r>
    </w:p>
    <w:p w14:paraId="6F167688" w14:textId="77777777" w:rsidR="000C29B8" w:rsidRDefault="00000000">
      <w:pPr>
        <w:tabs>
          <w:tab w:val="left" w:pos="0"/>
          <w:tab w:val="left" w:pos="1560"/>
        </w:tabs>
        <w:snapToGrid w:val="0"/>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红</w:t>
      </w:r>
      <w:proofErr w:type="gramStart"/>
      <w:r>
        <w:rPr>
          <w:rFonts w:ascii="仿宋_GB2312" w:eastAsia="仿宋_GB2312" w:hAnsi="Arial Unicode MS" w:cs="Arial Unicode MS" w:hint="eastAsia"/>
          <w:color w:val="000000"/>
          <w:sz w:val="32"/>
          <w:szCs w:val="32"/>
        </w:rPr>
        <w:t>筹企业</w:t>
      </w:r>
      <w:proofErr w:type="gramEnd"/>
      <w:r>
        <w:rPr>
          <w:rFonts w:ascii="仿宋_GB2312" w:eastAsia="仿宋_GB2312" w:hAnsi="Arial Unicode MS" w:cs="Arial Unicode MS" w:hint="eastAsia"/>
          <w:color w:val="000000"/>
          <w:sz w:val="32"/>
          <w:szCs w:val="32"/>
        </w:rPr>
        <w:t>发行存托凭证的，第一款第一项和第二款第一项调整为每日存托凭证收盘价乘以存托凭证与基础股票转换比例后的数值低于1元；第一款第二项和第二款第二项调整为在本所的每日存托凭证收盘市值低于</w:t>
      </w:r>
      <w:r>
        <w:rPr>
          <w:rFonts w:ascii="仿宋_GB2312" w:eastAsia="仿宋_GB2312" w:hAnsi="Arial Unicode MS" w:cs="Arial Unicode MS"/>
          <w:color w:val="000000"/>
          <w:sz w:val="32"/>
          <w:szCs w:val="32"/>
        </w:rPr>
        <w:t>3</w:t>
      </w:r>
      <w:r>
        <w:rPr>
          <w:rFonts w:ascii="仿宋_GB2312" w:eastAsia="仿宋_GB2312" w:hAnsi="Arial Unicode MS" w:cs="Arial Unicode MS" w:hint="eastAsia"/>
          <w:color w:val="000000"/>
          <w:sz w:val="32"/>
          <w:szCs w:val="32"/>
        </w:rPr>
        <w:t>亿元。</w:t>
      </w:r>
    </w:p>
    <w:p w14:paraId="4BCE223C" w14:textId="77777777" w:rsidR="000C29B8" w:rsidRDefault="00000000">
      <w:pPr>
        <w:tabs>
          <w:tab w:val="left" w:pos="0"/>
          <w:tab w:val="left" w:pos="1560"/>
        </w:tabs>
        <w:snapToGrid w:val="0"/>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本所可以根据实际情况，对上述风险提示标准进行调整。</w:t>
      </w:r>
    </w:p>
    <w:p w14:paraId="3E04481D" w14:textId="77777777" w:rsidR="000C29B8" w:rsidRDefault="00000000">
      <w:pPr>
        <w:numPr>
          <w:ilvl w:val="2"/>
          <w:numId w:val="47"/>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Arial Unicode MS" w:cs="Arial Unicode MS" w:hint="eastAsia"/>
          <w:color w:val="000000"/>
          <w:sz w:val="32"/>
          <w:szCs w:val="32"/>
        </w:rPr>
        <w:lastRenderedPageBreak/>
        <w:t>上市公司出现第</w:t>
      </w:r>
      <w:r>
        <w:rPr>
          <w:rFonts w:ascii="仿宋_GB2312" w:eastAsia="仿宋_GB2312" w:hAnsi="Arial Unicode MS" w:cs="Arial Unicode MS"/>
          <w:color w:val="000000"/>
          <w:sz w:val="32"/>
          <w:szCs w:val="32"/>
        </w:rPr>
        <w:t>12.3.1条情形之一的，其股票自情形出现的</w:t>
      </w:r>
      <w:r>
        <w:rPr>
          <w:rFonts w:ascii="仿宋_GB2312" w:eastAsia="仿宋_GB2312" w:hAnsi="Arial Unicode MS" w:cs="Arial Unicode MS" w:hint="eastAsia"/>
          <w:color w:val="000000"/>
          <w:sz w:val="32"/>
          <w:szCs w:val="32"/>
        </w:rPr>
        <w:t>次</w:t>
      </w:r>
      <w:r>
        <w:rPr>
          <w:rFonts w:ascii="仿宋_GB2312" w:eastAsia="仿宋_GB2312" w:hAnsi="Arial Unicode MS" w:cs="Arial Unicode MS"/>
          <w:color w:val="000000"/>
          <w:sz w:val="32"/>
          <w:szCs w:val="32"/>
        </w:rPr>
        <w:t>一交易日起停牌</w:t>
      </w:r>
      <w:r>
        <w:rPr>
          <w:rFonts w:ascii="仿宋_GB2312" w:eastAsia="仿宋_GB2312" w:hAnsi="Arial Unicode MS" w:cs="Arial Unicode MS" w:hint="eastAsia"/>
          <w:color w:val="000000"/>
          <w:sz w:val="32"/>
          <w:szCs w:val="32"/>
        </w:rPr>
        <w:t>，并披露公司股票可能被终止上市的风险提示公告</w:t>
      </w:r>
      <w:r>
        <w:rPr>
          <w:rFonts w:ascii="仿宋_GB2312" w:eastAsia="仿宋_GB2312" w:hAnsi="Arial Unicode MS" w:cs="Arial Unicode MS"/>
          <w:color w:val="000000"/>
          <w:sz w:val="32"/>
          <w:szCs w:val="32"/>
        </w:rPr>
        <w:t>。</w:t>
      </w:r>
    </w:p>
    <w:p w14:paraId="454F6517" w14:textId="77777777" w:rsidR="000C29B8" w:rsidRDefault="00000000">
      <w:pPr>
        <w:tabs>
          <w:tab w:val="left" w:pos="0"/>
          <w:tab w:val="left" w:pos="1560"/>
        </w:tabs>
        <w:snapToGrid w:val="0"/>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红</w:t>
      </w:r>
      <w:proofErr w:type="gramStart"/>
      <w:r>
        <w:rPr>
          <w:rFonts w:ascii="仿宋_GB2312" w:eastAsia="仿宋_GB2312" w:hAnsi="Arial Unicode MS" w:cs="Arial Unicode MS" w:hint="eastAsia"/>
          <w:color w:val="000000"/>
          <w:sz w:val="32"/>
          <w:szCs w:val="32"/>
        </w:rPr>
        <w:t>筹企业</w:t>
      </w:r>
      <w:proofErr w:type="gramEnd"/>
      <w:r>
        <w:rPr>
          <w:rFonts w:ascii="仿宋_GB2312" w:eastAsia="仿宋_GB2312" w:hAnsi="Arial Unicode MS" w:cs="Arial Unicode MS" w:hint="eastAsia"/>
          <w:color w:val="000000"/>
          <w:sz w:val="32"/>
          <w:szCs w:val="32"/>
        </w:rPr>
        <w:t>出现第12.3.1条情形之一的，其存托凭证自该情形出现的次一交易日起开始停牌，并披露红</w:t>
      </w:r>
      <w:proofErr w:type="gramStart"/>
      <w:r>
        <w:rPr>
          <w:rFonts w:ascii="仿宋_GB2312" w:eastAsia="仿宋_GB2312" w:hAnsi="Arial Unicode MS" w:cs="Arial Unicode MS" w:hint="eastAsia"/>
          <w:color w:val="000000"/>
          <w:sz w:val="32"/>
          <w:szCs w:val="32"/>
        </w:rPr>
        <w:t>筹企业</w:t>
      </w:r>
      <w:proofErr w:type="gramEnd"/>
      <w:r>
        <w:rPr>
          <w:rFonts w:ascii="仿宋_GB2312" w:eastAsia="仿宋_GB2312" w:hAnsi="Arial Unicode MS" w:cs="Arial Unicode MS" w:hint="eastAsia"/>
          <w:color w:val="000000"/>
          <w:sz w:val="32"/>
          <w:szCs w:val="32"/>
        </w:rPr>
        <w:t>存托凭证可能被终止上市的风险提示公告。</w:t>
      </w:r>
    </w:p>
    <w:p w14:paraId="11E5F40E" w14:textId="77777777" w:rsidR="000C29B8" w:rsidRDefault="00000000">
      <w:pPr>
        <w:spacing w:line="560" w:lineRule="exact"/>
        <w:ind w:firstLineChars="200" w:firstLine="640"/>
        <w:rPr>
          <w:rFonts w:ascii="仿宋_GB2312" w:eastAsia="仿宋_GB2312" w:hAnsi="仿宋_GB2312"/>
          <w:sz w:val="32"/>
          <w:szCs w:val="32"/>
        </w:rPr>
      </w:pPr>
      <w:r>
        <w:rPr>
          <w:rFonts w:ascii="仿宋_GB2312" w:eastAsia="仿宋_GB2312" w:hAnsi="黑体" w:hint="eastAsia"/>
          <w:sz w:val="32"/>
          <w:szCs w:val="32"/>
        </w:rPr>
        <w:t>本所自公司股票或者红</w:t>
      </w:r>
      <w:proofErr w:type="gramStart"/>
      <w:r>
        <w:rPr>
          <w:rFonts w:ascii="仿宋_GB2312" w:eastAsia="仿宋_GB2312" w:hAnsi="黑体" w:hint="eastAsia"/>
          <w:sz w:val="32"/>
          <w:szCs w:val="32"/>
        </w:rPr>
        <w:t>筹企业</w:t>
      </w:r>
      <w:proofErr w:type="gramEnd"/>
      <w:r>
        <w:rPr>
          <w:rFonts w:ascii="仿宋_GB2312" w:eastAsia="仿宋_GB2312" w:hAnsi="黑体" w:hint="eastAsia"/>
          <w:sz w:val="32"/>
          <w:szCs w:val="32"/>
        </w:rPr>
        <w:t>存托凭证停牌之日起</w:t>
      </w:r>
      <w:r>
        <w:rPr>
          <w:rFonts w:ascii="仿宋_GB2312" w:eastAsia="仿宋_GB2312" w:hAnsi="黑体"/>
          <w:sz w:val="32"/>
          <w:szCs w:val="32"/>
        </w:rPr>
        <w:t>5个交易日内，向公司发出拟终止其股票上市的事先告知书</w:t>
      </w:r>
      <w:r>
        <w:rPr>
          <w:rFonts w:ascii="仿宋_GB2312" w:eastAsia="仿宋_GB2312" w:hAnsi="仿宋_GB2312" w:hint="eastAsia"/>
          <w:sz w:val="32"/>
          <w:szCs w:val="32"/>
        </w:rPr>
        <w:t>，上市公司应当及时披露。</w:t>
      </w:r>
    </w:p>
    <w:p w14:paraId="3DD0889D" w14:textId="77777777" w:rsidR="000C29B8" w:rsidRDefault="00000000">
      <w:pPr>
        <w:numPr>
          <w:ilvl w:val="2"/>
          <w:numId w:val="47"/>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宋体" w:cs="宋体" w:hint="eastAsia"/>
          <w:kern w:val="0"/>
          <w:sz w:val="32"/>
          <w:szCs w:val="32"/>
        </w:rPr>
        <w:t>上市公司收到终止上市事先告知书后，可以根据本章第六节的规定提出听证、陈述和申辩。</w:t>
      </w:r>
    </w:p>
    <w:p w14:paraId="0415CC7A"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宋体" w:cs="宋体" w:hint="eastAsia"/>
          <w:kern w:val="0"/>
          <w:sz w:val="32"/>
          <w:szCs w:val="32"/>
        </w:rPr>
        <w:t>本所上市委员会在前款规定的有关期限届满或者听证程序结束后15个交易日内，就是否终止其股票或者存托凭证上市事宜进行审议，</w:t>
      </w:r>
      <w:proofErr w:type="gramStart"/>
      <w:r>
        <w:rPr>
          <w:rFonts w:ascii="仿宋_GB2312" w:eastAsia="仿宋_GB2312" w:hAnsi="仿宋_GB2312" w:hint="eastAsia"/>
          <w:sz w:val="32"/>
          <w:szCs w:val="32"/>
        </w:rPr>
        <w:t>作出</w:t>
      </w:r>
      <w:proofErr w:type="gramEnd"/>
      <w:r>
        <w:rPr>
          <w:rFonts w:ascii="仿宋_GB2312" w:eastAsia="仿宋_GB2312" w:hAnsi="仿宋_GB2312" w:hint="eastAsia"/>
          <w:sz w:val="32"/>
          <w:szCs w:val="32"/>
        </w:rPr>
        <w:t>独立的专业判断并形成审议意见。</w:t>
      </w:r>
    </w:p>
    <w:p w14:paraId="535204D7" w14:textId="77777777" w:rsidR="000C29B8" w:rsidRDefault="00000000">
      <w:pPr>
        <w:widowControl/>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本所根据上市委员会的审议意见，</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是否终止股票或者存托凭证上市的决定。</w:t>
      </w:r>
    </w:p>
    <w:p w14:paraId="0C907F81" w14:textId="77777777" w:rsidR="000C29B8" w:rsidRDefault="00000000">
      <w:pPr>
        <w:numPr>
          <w:ilvl w:val="2"/>
          <w:numId w:val="47"/>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Arial Unicode MS" w:cs="Arial Unicode MS" w:hint="eastAsia"/>
          <w:color w:val="000000"/>
          <w:sz w:val="32"/>
          <w:szCs w:val="32"/>
        </w:rPr>
        <w:t xml:space="preserve"> 本所决定不对上市公司股票或者存托凭证实施终止上市的，公司应当在收到本所相关决定后，及时披露并申请股票复牌。</w:t>
      </w:r>
    </w:p>
    <w:p w14:paraId="1E7831B6" w14:textId="77777777" w:rsidR="000C29B8" w:rsidRDefault="00000000">
      <w:pPr>
        <w:numPr>
          <w:ilvl w:val="2"/>
          <w:numId w:val="47"/>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 xml:space="preserve"> 本所在</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终止股票或者存托凭证上市的决定之日起2个交易日内，通知上市公司并披露相关公告，同时报中国证监会备案。</w:t>
      </w:r>
    </w:p>
    <w:p w14:paraId="0417CF4A"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上市公司应当在收到本所关于终止其股票或者存托凭证上市决定后，及时披露股票或者存托凭证终止上市公告。</w:t>
      </w:r>
    </w:p>
    <w:p w14:paraId="2077F7E4" w14:textId="77777777" w:rsidR="000C29B8" w:rsidRDefault="00000000">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本所在公司公告股票或者存托凭证终止上市决定之日起5个交易日内对其予以摘牌，公司股票终止上市,并转入全国中小企业股份转让系统等证券交易场所转让。</w:t>
      </w:r>
    </w:p>
    <w:p w14:paraId="356DAD89" w14:textId="77777777" w:rsidR="000C29B8" w:rsidRDefault="00000000">
      <w:pPr>
        <w:ind w:firstLineChars="200" w:firstLine="640"/>
        <w:rPr>
          <w:rFonts w:ascii="仿宋_GB2312" w:eastAsia="仿宋_GB2312" w:hAnsi="黑体"/>
          <w:sz w:val="32"/>
          <w:szCs w:val="32"/>
        </w:rPr>
      </w:pPr>
      <w:r>
        <w:rPr>
          <w:rFonts w:ascii="仿宋_GB2312" w:eastAsia="仿宋_GB2312" w:hAnsi="黑体" w:hint="eastAsia"/>
          <w:sz w:val="32"/>
          <w:szCs w:val="32"/>
        </w:rPr>
        <w:t>上市公司可以按照本章第六节的规定申请复核。</w:t>
      </w:r>
    </w:p>
    <w:p w14:paraId="4BA73417" w14:textId="77777777" w:rsidR="000C29B8" w:rsidRDefault="00000000">
      <w:pPr>
        <w:ind w:firstLineChars="200" w:firstLine="640"/>
        <w:rPr>
          <w:rFonts w:ascii="仿宋_GB2312" w:eastAsia="仿宋_GB2312" w:hAnsi="黑体"/>
          <w:sz w:val="32"/>
          <w:szCs w:val="32"/>
        </w:rPr>
      </w:pPr>
      <w:r>
        <w:rPr>
          <w:rFonts w:ascii="仿宋_GB2312" w:eastAsia="仿宋_GB2312" w:hAnsi="黑体" w:hint="eastAsia"/>
          <w:sz w:val="32"/>
          <w:szCs w:val="32"/>
        </w:rPr>
        <w:t>上市公司应当在本所</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终止其股票上市决定后，按照第12.7.12条的规定履行相关义务。</w:t>
      </w:r>
    </w:p>
    <w:p w14:paraId="68862F98" w14:textId="77777777" w:rsidR="000C29B8" w:rsidRDefault="00000000">
      <w:pPr>
        <w:pStyle w:val="23"/>
      </w:pPr>
      <w:bookmarkStart w:id="666" w:name="_Toc11050"/>
      <w:r>
        <w:rPr>
          <w:rFonts w:hint="eastAsia"/>
        </w:rPr>
        <w:t>第四节  财务类强制退市</w:t>
      </w:r>
      <w:bookmarkEnd w:id="666"/>
    </w:p>
    <w:p w14:paraId="7EDCC0DE" w14:textId="77777777" w:rsidR="000C29B8" w:rsidRDefault="00000000">
      <w:pPr>
        <w:numPr>
          <w:ilvl w:val="2"/>
          <w:numId w:val="49"/>
        </w:numPr>
        <w:tabs>
          <w:tab w:val="left" w:pos="1560"/>
        </w:tabs>
        <w:snapToGrid w:val="0"/>
        <w:spacing w:line="560" w:lineRule="exact"/>
        <w:ind w:left="0" w:firstLineChars="200" w:firstLine="640"/>
        <w:rPr>
          <w:rFonts w:ascii="仿宋_GB2312" w:eastAsia="仿宋_GB2312" w:hAnsi="黑体"/>
          <w:sz w:val="32"/>
          <w:szCs w:val="32"/>
          <w:u w:val="single"/>
        </w:rPr>
      </w:pPr>
      <w:r>
        <w:rPr>
          <w:rFonts w:ascii="仿宋_GB2312" w:eastAsia="仿宋_GB2312" w:hAnsi="黑体" w:hint="eastAsia"/>
          <w:sz w:val="32"/>
          <w:szCs w:val="32"/>
        </w:rPr>
        <w:t xml:space="preserve"> 上市公司出现下列情形之一，明显丧失持续经营能力，达到本规则规定标准的，本所将对其股票启动退市程序：</w:t>
      </w:r>
    </w:p>
    <w:p w14:paraId="75DFFF01" w14:textId="77777777" w:rsidR="000C29B8" w:rsidRDefault="00000000">
      <w:pPr>
        <w:pStyle w:val="afa"/>
        <w:numPr>
          <w:ilvl w:val="3"/>
          <w:numId w:val="1"/>
        </w:numPr>
        <w:tabs>
          <w:tab w:val="clear" w:pos="1980"/>
          <w:tab w:val="left" w:pos="0"/>
          <w:tab w:val="left" w:pos="1560"/>
          <w:tab w:val="left" w:pos="1843"/>
        </w:tabs>
        <w:snapToGrid w:val="0"/>
        <w:spacing w:line="560" w:lineRule="exact"/>
        <w:ind w:left="0" w:firstLineChars="0" w:firstLine="709"/>
        <w:rPr>
          <w:rFonts w:ascii="仿宋_GB2312" w:hAnsi="黑体"/>
          <w:sz w:val="32"/>
          <w:szCs w:val="32"/>
        </w:rPr>
      </w:pPr>
      <w:r>
        <w:rPr>
          <w:rFonts w:ascii="仿宋_GB2312" w:hAnsi="黑体" w:hint="eastAsia"/>
          <w:sz w:val="32"/>
          <w:szCs w:val="32"/>
        </w:rPr>
        <w:t>主营业务大部分停滞或者规模极低；</w:t>
      </w:r>
    </w:p>
    <w:p w14:paraId="2D46BB08" w14:textId="77777777" w:rsidR="000C29B8" w:rsidRDefault="00000000">
      <w:pPr>
        <w:pStyle w:val="afa"/>
        <w:numPr>
          <w:ilvl w:val="3"/>
          <w:numId w:val="1"/>
        </w:numPr>
        <w:tabs>
          <w:tab w:val="clear" w:pos="1980"/>
          <w:tab w:val="left" w:pos="0"/>
          <w:tab w:val="left" w:pos="1560"/>
          <w:tab w:val="left" w:pos="1843"/>
          <w:tab w:val="left" w:pos="1985"/>
        </w:tabs>
        <w:snapToGrid w:val="0"/>
        <w:spacing w:line="560" w:lineRule="exact"/>
        <w:ind w:left="0" w:firstLineChars="0" w:firstLine="709"/>
        <w:rPr>
          <w:rFonts w:ascii="仿宋_GB2312" w:hAnsi="黑体"/>
          <w:sz w:val="32"/>
          <w:szCs w:val="32"/>
        </w:rPr>
      </w:pPr>
      <w:r>
        <w:rPr>
          <w:rFonts w:ascii="仿宋_GB2312" w:hAnsi="黑体" w:hint="eastAsia"/>
          <w:sz w:val="32"/>
          <w:szCs w:val="32"/>
        </w:rPr>
        <w:t>经营资产大幅减少导致无法维持日常经营；</w:t>
      </w:r>
    </w:p>
    <w:p w14:paraId="0D81EA84" w14:textId="77777777" w:rsidR="000C29B8" w:rsidRDefault="00000000">
      <w:pPr>
        <w:pStyle w:val="afa"/>
        <w:numPr>
          <w:ilvl w:val="3"/>
          <w:numId w:val="1"/>
        </w:numPr>
        <w:tabs>
          <w:tab w:val="clear" w:pos="1980"/>
          <w:tab w:val="left" w:pos="0"/>
          <w:tab w:val="left" w:pos="1560"/>
          <w:tab w:val="left" w:pos="1843"/>
        </w:tabs>
        <w:snapToGrid w:val="0"/>
        <w:spacing w:line="560" w:lineRule="exact"/>
        <w:ind w:left="0" w:firstLineChars="0" w:firstLine="709"/>
        <w:rPr>
          <w:rFonts w:ascii="仿宋_GB2312" w:hAnsi="黑体"/>
          <w:sz w:val="32"/>
          <w:szCs w:val="32"/>
        </w:rPr>
      </w:pPr>
      <w:r>
        <w:rPr>
          <w:rFonts w:ascii="仿宋_GB2312" w:hAnsi="黑体" w:hint="eastAsia"/>
          <w:sz w:val="32"/>
          <w:szCs w:val="32"/>
        </w:rPr>
        <w:t>营业收入或者利润主要来源于不具备商业实质的交易；</w:t>
      </w:r>
    </w:p>
    <w:p w14:paraId="4C0E7DCE" w14:textId="77777777" w:rsidR="000C29B8" w:rsidRDefault="00000000">
      <w:pPr>
        <w:pStyle w:val="afa"/>
        <w:numPr>
          <w:ilvl w:val="3"/>
          <w:numId w:val="1"/>
        </w:numPr>
        <w:tabs>
          <w:tab w:val="clear" w:pos="1980"/>
          <w:tab w:val="left" w:pos="0"/>
          <w:tab w:val="left" w:pos="1560"/>
          <w:tab w:val="left" w:pos="1843"/>
        </w:tabs>
        <w:snapToGrid w:val="0"/>
        <w:spacing w:line="560" w:lineRule="exact"/>
        <w:ind w:left="0" w:firstLineChars="0" w:firstLine="709"/>
        <w:rPr>
          <w:rFonts w:ascii="仿宋_GB2312" w:hAnsi="黑体"/>
          <w:sz w:val="32"/>
          <w:szCs w:val="32"/>
          <w:u w:val="single"/>
        </w:rPr>
      </w:pPr>
      <w:r>
        <w:rPr>
          <w:rFonts w:ascii="仿宋_GB2312" w:hAnsi="黑体" w:hint="eastAsia"/>
          <w:sz w:val="32"/>
          <w:szCs w:val="32"/>
        </w:rPr>
        <w:t>营业收入或者利润主要来源于与主营业务无关的业务；</w:t>
      </w:r>
    </w:p>
    <w:p w14:paraId="62FD15FC" w14:textId="77777777" w:rsidR="000C29B8" w:rsidRDefault="00000000">
      <w:pPr>
        <w:pStyle w:val="afa"/>
        <w:numPr>
          <w:ilvl w:val="3"/>
          <w:numId w:val="1"/>
        </w:numPr>
        <w:tabs>
          <w:tab w:val="clear" w:pos="1980"/>
          <w:tab w:val="left" w:pos="0"/>
          <w:tab w:val="left" w:pos="1560"/>
          <w:tab w:val="left" w:pos="1843"/>
        </w:tabs>
        <w:snapToGrid w:val="0"/>
        <w:spacing w:line="560" w:lineRule="exact"/>
        <w:ind w:left="0" w:firstLineChars="0" w:firstLine="709"/>
        <w:rPr>
          <w:rFonts w:ascii="仿宋_GB2312" w:hAnsi="黑体"/>
          <w:sz w:val="32"/>
          <w:szCs w:val="32"/>
          <w:u w:val="single"/>
        </w:rPr>
      </w:pPr>
      <w:r>
        <w:rPr>
          <w:rFonts w:ascii="仿宋_GB2312" w:hAnsi="黑体" w:hint="eastAsia"/>
          <w:sz w:val="32"/>
          <w:szCs w:val="32"/>
        </w:rPr>
        <w:t>其他明显丧失持续经营能力的情形。</w:t>
      </w:r>
    </w:p>
    <w:p w14:paraId="22414FB2" w14:textId="77777777" w:rsidR="000C29B8" w:rsidRDefault="00000000">
      <w:pPr>
        <w:numPr>
          <w:ilvl w:val="2"/>
          <w:numId w:val="49"/>
        </w:numPr>
        <w:tabs>
          <w:tab w:val="left" w:pos="1560"/>
        </w:tabs>
        <w:snapToGrid w:val="0"/>
        <w:spacing w:line="560" w:lineRule="exact"/>
        <w:ind w:left="0" w:firstLineChars="200" w:firstLine="640"/>
        <w:rPr>
          <w:rFonts w:ascii="仿宋_GB2312" w:eastAsia="仿宋_GB2312" w:hAnsi="黑体"/>
          <w:sz w:val="32"/>
          <w:szCs w:val="32"/>
          <w:u w:val="single"/>
        </w:rPr>
      </w:pPr>
      <w:r>
        <w:rPr>
          <w:rFonts w:ascii="仿宋_GB2312" w:eastAsia="仿宋_GB2312" w:hAnsi="黑体" w:hint="eastAsia"/>
          <w:sz w:val="32"/>
          <w:szCs w:val="32"/>
        </w:rPr>
        <w:t xml:space="preserve"> 上市公司出现下列情形之一的，本所对其股票实施退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w:t>
      </w:r>
    </w:p>
    <w:p w14:paraId="3E9B2FC3"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一）最近一个会计年度经审计的利润总额、净利润或者扣除非经常性损益后的净利润孰低者为负值且营业收入低于1亿元，或者追溯重述后最近一个会计年度利润总额、净利润或者扣除非经常性损益后的净利润孰低者为负值且营业收入低于1亿元；</w:t>
      </w:r>
    </w:p>
    <w:p w14:paraId="62842C58"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（二）</w:t>
      </w:r>
      <w:r>
        <w:rPr>
          <w:rFonts w:ascii="仿宋_GB2312" w:eastAsia="仿宋_GB2312" w:hAnsi="黑体"/>
          <w:sz w:val="32"/>
          <w:szCs w:val="32"/>
        </w:rPr>
        <w:t>最近一个会计年度经审计的期末净资产为负值，或</w:t>
      </w:r>
      <w:r>
        <w:rPr>
          <w:rFonts w:ascii="仿宋_GB2312" w:eastAsia="仿宋_GB2312" w:hAnsi="黑体" w:hint="eastAsia"/>
          <w:sz w:val="32"/>
          <w:szCs w:val="32"/>
        </w:rPr>
        <w:t>者</w:t>
      </w:r>
      <w:r>
        <w:rPr>
          <w:rFonts w:ascii="仿宋_GB2312" w:eastAsia="仿宋_GB2312" w:hAnsi="黑体"/>
          <w:sz w:val="32"/>
          <w:szCs w:val="32"/>
        </w:rPr>
        <w:t>追溯重述后最近一个会计年度期末净资产为负值</w:t>
      </w:r>
      <w:r>
        <w:rPr>
          <w:rFonts w:ascii="仿宋_GB2312" w:eastAsia="仿宋_GB2312" w:hAnsi="黑体" w:hint="eastAsia"/>
          <w:sz w:val="32"/>
          <w:szCs w:val="32"/>
        </w:rPr>
        <w:t>；</w:t>
      </w:r>
    </w:p>
    <w:p w14:paraId="03A62A60"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（三）最近一个会计年度的财务会计报告被出具无法表示意见或者否定意见的审计报告；</w:t>
      </w:r>
    </w:p>
    <w:p w14:paraId="18B468C3"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（四）中国证监会行政处罚决定</w:t>
      </w:r>
      <w:proofErr w:type="gramStart"/>
      <w:r>
        <w:rPr>
          <w:rFonts w:ascii="仿宋_GB2312" w:eastAsia="仿宋_GB2312" w:hAnsi="黑体" w:hint="eastAsia"/>
          <w:sz w:val="32"/>
          <w:szCs w:val="32"/>
        </w:rPr>
        <w:t>书表明</w:t>
      </w:r>
      <w:proofErr w:type="gramEnd"/>
      <w:r>
        <w:rPr>
          <w:rFonts w:ascii="仿宋_GB2312" w:eastAsia="仿宋_GB2312" w:hAnsi="黑体" w:hint="eastAsia"/>
          <w:sz w:val="32"/>
          <w:szCs w:val="32"/>
        </w:rPr>
        <w:t>公司已披露的最近一个会计年度经审计的年度报告存在虚假记载、误导性陈述或者重大遗漏，导致该年度相关财务指标实际已触及第一项、第二项情形的；</w:t>
      </w:r>
    </w:p>
    <w:p w14:paraId="5C23CA0B"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（五</w:t>
      </w:r>
      <w:r>
        <w:rPr>
          <w:rFonts w:ascii="仿宋_GB2312" w:eastAsia="仿宋_GB2312" w:hAnsi="黑体"/>
          <w:sz w:val="32"/>
          <w:szCs w:val="32"/>
        </w:rPr>
        <w:t>）</w:t>
      </w:r>
      <w:r>
        <w:rPr>
          <w:rFonts w:ascii="仿宋_GB2312" w:eastAsia="仿宋_GB2312" w:hAnsi="黑体" w:hint="eastAsia"/>
          <w:sz w:val="32"/>
          <w:szCs w:val="32"/>
        </w:rPr>
        <w:t>本所认定的其他情形。</w:t>
      </w:r>
    </w:p>
    <w:p w14:paraId="640AF397"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color w:val="000000"/>
          <w:sz w:val="30"/>
          <w:szCs w:val="30"/>
        </w:rPr>
      </w:pPr>
      <w:r>
        <w:rPr>
          <w:rFonts w:ascii="仿宋_GB2312" w:eastAsia="仿宋_GB2312" w:hAnsi="Arial Unicode MS" w:cs="Arial Unicode MS" w:hint="eastAsia"/>
          <w:color w:val="000000"/>
          <w:sz w:val="32"/>
          <w:szCs w:val="32"/>
        </w:rPr>
        <w:t>上市公司因追溯重述或者本条第一款第四项规定情形导致相关财务指标触及本条第一款第一项、第二项规定情形的，最近一个会计年度指最近一个已经披露经审计财务会计报告的年度。</w:t>
      </w:r>
    </w:p>
    <w:p w14:paraId="132FE1C4"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根据本</w:t>
      </w:r>
      <w:proofErr w:type="gramStart"/>
      <w:r>
        <w:rPr>
          <w:rFonts w:ascii="仿宋_GB2312" w:eastAsia="仿宋_GB2312" w:hAnsi="黑体" w:hint="eastAsia"/>
          <w:sz w:val="32"/>
          <w:szCs w:val="32"/>
        </w:rPr>
        <w:t>规则第2</w:t>
      </w:r>
      <w:proofErr w:type="gramEnd"/>
      <w:r>
        <w:rPr>
          <w:rFonts w:ascii="仿宋_GB2312" w:eastAsia="仿宋_GB2312" w:hAnsi="黑体" w:hint="eastAsia"/>
          <w:sz w:val="32"/>
          <w:szCs w:val="32"/>
        </w:rPr>
        <w:t>.1.2</w:t>
      </w:r>
      <w:r>
        <w:rPr>
          <w:rFonts w:ascii="仿宋_GB2312" w:eastAsia="仿宋_GB2312" w:hAnsi="黑体"/>
          <w:sz w:val="32"/>
          <w:szCs w:val="32"/>
        </w:rPr>
        <w:t>条</w:t>
      </w:r>
      <w:r>
        <w:rPr>
          <w:rFonts w:ascii="仿宋_GB2312" w:eastAsia="仿宋_GB2312" w:hAnsi="黑体" w:hint="eastAsia"/>
          <w:sz w:val="32"/>
          <w:szCs w:val="32"/>
        </w:rPr>
        <w:t>第五项市值及财务指标</w:t>
      </w:r>
      <w:r>
        <w:rPr>
          <w:rFonts w:ascii="仿宋_GB2312" w:eastAsia="仿宋_GB2312" w:hAnsi="黑体"/>
          <w:sz w:val="32"/>
          <w:szCs w:val="32"/>
        </w:rPr>
        <w:t>上市</w:t>
      </w:r>
      <w:r>
        <w:rPr>
          <w:rFonts w:ascii="仿宋_GB2312" w:eastAsia="仿宋_GB2312" w:hAnsi="黑体" w:hint="eastAsia"/>
          <w:sz w:val="32"/>
          <w:szCs w:val="32"/>
        </w:rPr>
        <w:t>的公司（以下简称研发</w:t>
      </w:r>
      <w:proofErr w:type="gramStart"/>
      <w:r>
        <w:rPr>
          <w:rFonts w:ascii="仿宋_GB2312" w:eastAsia="仿宋_GB2312" w:hAnsi="黑体" w:hint="eastAsia"/>
          <w:sz w:val="32"/>
          <w:szCs w:val="32"/>
        </w:rPr>
        <w:t>型上市</w:t>
      </w:r>
      <w:proofErr w:type="gramEnd"/>
      <w:r>
        <w:rPr>
          <w:rFonts w:ascii="仿宋_GB2312" w:eastAsia="仿宋_GB2312" w:hAnsi="黑体" w:hint="eastAsia"/>
          <w:sz w:val="32"/>
          <w:szCs w:val="32"/>
        </w:rPr>
        <w:t>公司）自上市之日起第4个完整会计年度起适用本条第一款第一项、第二项、</w:t>
      </w:r>
      <w:r>
        <w:rPr>
          <w:rFonts w:ascii="仿宋_GB2312" w:eastAsia="仿宋_GB2312" w:hAnsi="黑体"/>
          <w:sz w:val="32"/>
          <w:szCs w:val="32"/>
        </w:rPr>
        <w:t>第四项</w:t>
      </w:r>
      <w:r>
        <w:rPr>
          <w:rFonts w:ascii="仿宋_GB2312" w:eastAsia="仿宋_GB2312" w:hAnsi="黑体" w:hint="eastAsia"/>
          <w:sz w:val="32"/>
          <w:szCs w:val="32"/>
        </w:rPr>
        <w:t>规定的情形。</w:t>
      </w:r>
    </w:p>
    <w:p w14:paraId="2EF4E3FC"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本所可以根据实际情况调整本条第一款规定的退市指标。</w:t>
      </w:r>
    </w:p>
    <w:p w14:paraId="03DB14D7" w14:textId="77777777" w:rsidR="000C29B8" w:rsidRDefault="00000000">
      <w:pPr>
        <w:numPr>
          <w:ilvl w:val="2"/>
          <w:numId w:val="49"/>
        </w:numPr>
        <w:tabs>
          <w:tab w:val="left" w:pos="1560"/>
        </w:tabs>
        <w:snapToGrid w:val="0"/>
        <w:spacing w:line="560" w:lineRule="exact"/>
        <w:ind w:left="0" w:firstLineChars="200" w:firstLine="600"/>
        <w:rPr>
          <w:rFonts w:ascii="仿宋_GB2312" w:eastAsia="仿宋_GB2312" w:hAnsi="黑体"/>
          <w:sz w:val="32"/>
          <w:szCs w:val="32"/>
        </w:rPr>
      </w:pPr>
      <w:r>
        <w:rPr>
          <w:rFonts w:ascii="仿宋_GB2312" w:eastAsia="仿宋_GB2312" w:hAnsi="Arial Unicode MS" w:cs="Arial Unicode MS" w:hint="eastAsia"/>
          <w:color w:val="000000"/>
          <w:sz w:val="30"/>
          <w:szCs w:val="30"/>
        </w:rPr>
        <w:t xml:space="preserve"> </w:t>
      </w:r>
      <w:r>
        <w:rPr>
          <w:rFonts w:ascii="仿宋_GB2312" w:eastAsia="仿宋_GB2312" w:hAnsi="Arial Unicode MS" w:cs="Arial Unicode MS"/>
          <w:color w:val="000000"/>
          <w:sz w:val="30"/>
          <w:szCs w:val="30"/>
        </w:rPr>
        <w:t xml:space="preserve"> </w:t>
      </w:r>
      <w:r>
        <w:rPr>
          <w:rFonts w:ascii="仿宋_GB2312" w:eastAsia="仿宋_GB2312" w:hAnsi="黑体" w:hint="eastAsia"/>
          <w:sz w:val="32"/>
          <w:szCs w:val="32"/>
        </w:rPr>
        <w:t>本节所述“营业收入”应当扣除与主营业务无关的业务收入和不具备商业实质的收入。与主营业务无关的业务收入是指与上市公司正常经营业务无直接关系，或者虽与正常经营业务相关，但由于其性质特殊、具有偶发性和临时性，影响报表使用者对公司持续经营能力做出正常判断的</w:t>
      </w:r>
      <w:r>
        <w:rPr>
          <w:rFonts w:ascii="仿宋_GB2312" w:eastAsia="仿宋_GB2312" w:hAnsi="黑体" w:hint="eastAsia"/>
          <w:sz w:val="32"/>
          <w:szCs w:val="32"/>
        </w:rPr>
        <w:lastRenderedPageBreak/>
        <w:t>各项收入。不具备商业实质的收入是指未导致未来现金流发生显著变化等不具有商业合理性的各项交易和事项产生的收入。</w:t>
      </w:r>
    </w:p>
    <w:p w14:paraId="06BB2ADD"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公司最近一个会计年度经审计的利润总额、净利润或者扣除非经常性损益后的净利润孰低者为负值的，公司应当在年度报告或者更正公告中披露营业收入扣除情况及扣除后的营业收入金额；负责审计的会计师事务所应当就公司营业收入扣除事项是否符合本条规定及扣除后的营业收入金额出具专项核查意见。</w:t>
      </w:r>
    </w:p>
    <w:p w14:paraId="556820F3"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color w:val="000000"/>
          <w:sz w:val="30"/>
          <w:szCs w:val="30"/>
        </w:rPr>
      </w:pPr>
      <w:r>
        <w:rPr>
          <w:rFonts w:ascii="仿宋_GB2312" w:eastAsia="仿宋_GB2312" w:hAnsi="黑体" w:hint="eastAsia"/>
          <w:sz w:val="32"/>
          <w:szCs w:val="32"/>
        </w:rPr>
        <w:t>公司未按本条规定扣除相关收入的，本所可以要求公司扣除相关营业收入。公司未按照要求扣除的，本所可以扣除并对公司股票实施退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警示、终止上市。</w:t>
      </w:r>
    </w:p>
    <w:p w14:paraId="16C4DAC1" w14:textId="77777777" w:rsidR="000C29B8" w:rsidRDefault="00000000">
      <w:pPr>
        <w:numPr>
          <w:ilvl w:val="2"/>
          <w:numId w:val="49"/>
        </w:numPr>
        <w:tabs>
          <w:tab w:val="left" w:pos="1560"/>
        </w:tabs>
        <w:snapToGrid w:val="0"/>
        <w:spacing w:line="560" w:lineRule="exact"/>
        <w:ind w:left="0" w:firstLineChars="200" w:firstLine="640"/>
        <w:rPr>
          <w:rFonts w:ascii="仿宋_GB2312" w:eastAsia="仿宋_GB2312" w:hAnsi="Arial Unicode MS" w:cs="Arial Unicode MS"/>
          <w:color w:val="000000"/>
          <w:sz w:val="30"/>
          <w:szCs w:val="30"/>
        </w:rPr>
      </w:pPr>
      <w:r>
        <w:rPr>
          <w:rFonts w:ascii="仿宋_GB2312" w:eastAsia="仿宋_GB2312" w:hAnsi="黑体" w:hint="eastAsia"/>
          <w:sz w:val="32"/>
          <w:szCs w:val="32"/>
        </w:rPr>
        <w:t xml:space="preserve"> 研发</w:t>
      </w:r>
      <w:proofErr w:type="gramStart"/>
      <w:r>
        <w:rPr>
          <w:rFonts w:ascii="仿宋_GB2312" w:eastAsia="仿宋_GB2312" w:hAnsi="黑体" w:hint="eastAsia"/>
          <w:sz w:val="32"/>
          <w:szCs w:val="32"/>
        </w:rPr>
        <w:t>型上市</w:t>
      </w:r>
      <w:proofErr w:type="gramEnd"/>
      <w:r>
        <w:rPr>
          <w:rFonts w:ascii="仿宋_GB2312" w:eastAsia="仿宋_GB2312" w:hAnsi="黑体" w:hint="eastAsia"/>
          <w:sz w:val="32"/>
          <w:szCs w:val="32"/>
        </w:rPr>
        <w:t>公司主要业务、产品或者所依赖的基础技术研发失败或者被禁止使用，且公司无其他业务或者产品符合本</w:t>
      </w:r>
      <w:proofErr w:type="gramStart"/>
      <w:r>
        <w:rPr>
          <w:rFonts w:ascii="仿宋_GB2312" w:eastAsia="仿宋_GB2312" w:hAnsi="黑体" w:hint="eastAsia"/>
          <w:sz w:val="32"/>
          <w:szCs w:val="32"/>
        </w:rPr>
        <w:t>规则第2</w:t>
      </w:r>
      <w:proofErr w:type="gramEnd"/>
      <w:r>
        <w:rPr>
          <w:rFonts w:ascii="仿宋_GB2312" w:eastAsia="仿宋_GB2312" w:hAnsi="黑体" w:hint="eastAsia"/>
          <w:sz w:val="32"/>
          <w:szCs w:val="32"/>
        </w:rPr>
        <w:t>.1.2条第五项规定要求的，本所将对其股票实施退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w:t>
      </w:r>
    </w:p>
    <w:p w14:paraId="1908D4BD" w14:textId="77777777" w:rsidR="000C29B8" w:rsidRDefault="00000000">
      <w:pPr>
        <w:numPr>
          <w:ilvl w:val="2"/>
          <w:numId w:val="49"/>
        </w:numPr>
        <w:tabs>
          <w:tab w:val="left" w:pos="1560"/>
        </w:tabs>
        <w:snapToGrid w:val="0"/>
        <w:spacing w:line="560" w:lineRule="exact"/>
        <w:ind w:left="0" w:firstLineChars="200" w:firstLine="640"/>
        <w:rPr>
          <w:rFonts w:ascii="仿宋_GB2312" w:eastAsia="仿宋_GB2312" w:hAnsi="Arial Unicode MS" w:cs="Arial Unicode MS"/>
          <w:color w:val="000000"/>
          <w:sz w:val="30"/>
          <w:szCs w:val="30"/>
        </w:rPr>
      </w:pPr>
      <w:r>
        <w:rPr>
          <w:rFonts w:ascii="仿宋_GB2312" w:eastAsia="仿宋_GB2312" w:hAnsi="黑体"/>
          <w:sz w:val="32"/>
          <w:szCs w:val="32"/>
        </w:rPr>
        <w:t xml:space="preserve"> </w:t>
      </w:r>
      <w:r>
        <w:rPr>
          <w:rFonts w:ascii="仿宋_GB2312" w:eastAsia="仿宋_GB2312" w:hAnsi="黑体" w:hint="eastAsia"/>
          <w:sz w:val="32"/>
          <w:szCs w:val="32"/>
        </w:rPr>
        <w:t>上市公司预计将出现第12.4.2条规定情形的，应当在相应的会计年度结束后一个月内，披露股票可能被实施退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警示的风险提示公告，并在披露年度报告前至少再披露两次风险提示公告。</w:t>
      </w:r>
    </w:p>
    <w:p w14:paraId="02D61A1A" w14:textId="77777777" w:rsidR="000C29B8" w:rsidRDefault="00000000">
      <w:pPr>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公司预计因追溯重述导致可能出现第12.4.2条第一款第一项、第二项规定情形的，或者可能出现第</w:t>
      </w:r>
      <w:r>
        <w:rPr>
          <w:rFonts w:ascii="仿宋_GB2312" w:eastAsia="仿宋_GB2312" w:hAnsi="Arial Unicode MS" w:cs="Arial Unicode MS"/>
          <w:color w:val="000000"/>
          <w:sz w:val="32"/>
          <w:szCs w:val="32"/>
        </w:rPr>
        <w:t>12.4.2</w:t>
      </w:r>
      <w:r>
        <w:rPr>
          <w:rFonts w:ascii="仿宋_GB2312" w:eastAsia="仿宋_GB2312" w:hAnsi="Arial Unicode MS" w:cs="Arial Unicode MS" w:hint="eastAsia"/>
          <w:color w:val="000000"/>
          <w:sz w:val="32"/>
          <w:szCs w:val="32"/>
        </w:rPr>
        <w:t>条第一款第四项规定情形的，应当在知悉相关风险情况时立即披露公司股票可能被实施退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警示的风险提示公告。</w:t>
      </w:r>
    </w:p>
    <w:p w14:paraId="6AB3F6D7" w14:textId="77777777" w:rsidR="000C29B8" w:rsidRDefault="00000000">
      <w:pPr>
        <w:numPr>
          <w:ilvl w:val="2"/>
          <w:numId w:val="49"/>
        </w:numPr>
        <w:tabs>
          <w:tab w:val="left" w:pos="1560"/>
        </w:tabs>
        <w:snapToGrid w:val="0"/>
        <w:spacing w:line="560" w:lineRule="exact"/>
        <w:ind w:left="0" w:firstLineChars="200" w:firstLine="640"/>
        <w:rPr>
          <w:rFonts w:ascii="仿宋_GB2312" w:eastAsia="仿宋_GB2312" w:hAnsi="Arial Unicode MS" w:cs="Arial Unicode MS"/>
          <w:color w:val="000000"/>
          <w:sz w:val="32"/>
          <w:szCs w:val="32"/>
        </w:rPr>
      </w:pPr>
      <w:r>
        <w:rPr>
          <w:rFonts w:ascii="仿宋_GB2312" w:eastAsia="仿宋_GB2312" w:hAnsi="黑体" w:hint="eastAsia"/>
          <w:sz w:val="32"/>
          <w:szCs w:val="32"/>
        </w:rPr>
        <w:lastRenderedPageBreak/>
        <w:t>上市公司出现第</w:t>
      </w:r>
      <w:r>
        <w:rPr>
          <w:rFonts w:ascii="仿宋_GB2312" w:eastAsia="仿宋_GB2312" w:hAnsi="黑体"/>
          <w:sz w:val="32"/>
          <w:szCs w:val="32"/>
        </w:rPr>
        <w:t>12.</w:t>
      </w:r>
      <w:r>
        <w:rPr>
          <w:rFonts w:ascii="仿宋_GB2312" w:eastAsia="仿宋_GB2312" w:hAnsi="黑体" w:hint="eastAsia"/>
          <w:sz w:val="32"/>
          <w:szCs w:val="32"/>
        </w:rPr>
        <w:t>4</w:t>
      </w:r>
      <w:r>
        <w:rPr>
          <w:rFonts w:ascii="仿宋_GB2312" w:eastAsia="仿宋_GB2312" w:hAnsi="黑体"/>
          <w:sz w:val="32"/>
          <w:szCs w:val="32"/>
        </w:rPr>
        <w:t>.</w:t>
      </w:r>
      <w:r>
        <w:rPr>
          <w:rFonts w:ascii="仿宋_GB2312" w:eastAsia="仿宋_GB2312" w:hAnsi="黑体" w:hint="eastAsia"/>
          <w:sz w:val="32"/>
          <w:szCs w:val="32"/>
        </w:rPr>
        <w:t>2条</w:t>
      </w:r>
      <w:r>
        <w:rPr>
          <w:rFonts w:ascii="仿宋_GB2312" w:eastAsia="仿宋_GB2312" w:hAnsi="Arial Unicode MS" w:cs="Arial Unicode MS" w:hint="eastAsia"/>
          <w:color w:val="000000"/>
          <w:sz w:val="32"/>
          <w:szCs w:val="32"/>
        </w:rPr>
        <w:t>第一款</w:t>
      </w:r>
      <w:r>
        <w:rPr>
          <w:rFonts w:ascii="仿宋_GB2312" w:eastAsia="仿宋_GB2312" w:hAnsi="黑体" w:hint="eastAsia"/>
          <w:sz w:val="32"/>
          <w:szCs w:val="32"/>
        </w:rPr>
        <w:t>第一项</w:t>
      </w:r>
      <w:r>
        <w:rPr>
          <w:rFonts w:ascii="仿宋_GB2312" w:eastAsia="仿宋_GB2312" w:hAnsi="黑体"/>
          <w:sz w:val="32"/>
          <w:szCs w:val="32"/>
        </w:rPr>
        <w:t>至第三项</w:t>
      </w:r>
      <w:r>
        <w:rPr>
          <w:rFonts w:ascii="仿宋_GB2312" w:eastAsia="仿宋_GB2312" w:hAnsi="黑体" w:hint="eastAsia"/>
          <w:sz w:val="32"/>
          <w:szCs w:val="32"/>
        </w:rPr>
        <w:t>规定情形的，应当在董事会审议通过年度</w:t>
      </w:r>
      <w:r>
        <w:rPr>
          <w:rFonts w:ascii="仿宋_GB2312" w:eastAsia="仿宋_GB2312" w:hAnsi="黑体" w:cs="Arial Unicode MS" w:hint="eastAsia"/>
          <w:color w:val="000000"/>
          <w:sz w:val="32"/>
          <w:szCs w:val="32"/>
        </w:rPr>
        <w:t>报告或者财务会计报告更正事项后及时向本所报告，披露年度报告或者财务会计报告更正公告，并向本所提交董事会的书</w:t>
      </w:r>
      <w:r>
        <w:rPr>
          <w:rFonts w:ascii="仿宋_GB2312" w:eastAsia="仿宋_GB2312" w:hAnsi="Arial Unicode MS" w:cs="Arial Unicode MS" w:hint="eastAsia"/>
          <w:color w:val="000000"/>
          <w:sz w:val="32"/>
          <w:szCs w:val="32"/>
        </w:rPr>
        <w:t>面意见。公司股票自年度报告或者财务会计报告更正公告披露日起停牌。公司</w:t>
      </w:r>
      <w:r>
        <w:rPr>
          <w:rFonts w:ascii="仿宋_GB2312" w:eastAsia="仿宋_GB2312" w:hAnsi="黑体" w:cs="Arial Unicode MS"/>
          <w:color w:val="000000"/>
          <w:sz w:val="32"/>
          <w:szCs w:val="32"/>
        </w:rPr>
        <w:t>根据第1</w:t>
      </w:r>
      <w:r>
        <w:rPr>
          <w:rFonts w:ascii="仿宋_GB2312" w:eastAsia="仿宋_GB2312" w:hAnsi="黑体" w:cs="Arial Unicode MS" w:hint="eastAsia"/>
          <w:color w:val="000000"/>
          <w:sz w:val="32"/>
          <w:szCs w:val="32"/>
        </w:rPr>
        <w:t>2</w:t>
      </w:r>
      <w:r>
        <w:rPr>
          <w:rFonts w:ascii="仿宋_GB2312" w:eastAsia="仿宋_GB2312" w:hAnsi="黑体" w:cs="Arial Unicode MS"/>
          <w:color w:val="000000"/>
          <w:sz w:val="32"/>
          <w:szCs w:val="32"/>
        </w:rPr>
        <w:t>.</w:t>
      </w:r>
      <w:r>
        <w:rPr>
          <w:rFonts w:ascii="仿宋_GB2312" w:eastAsia="仿宋_GB2312" w:hAnsi="黑体" w:cs="Arial Unicode MS" w:hint="eastAsia"/>
          <w:color w:val="000000"/>
          <w:sz w:val="32"/>
          <w:szCs w:val="32"/>
        </w:rPr>
        <w:t>4</w:t>
      </w:r>
      <w:r>
        <w:rPr>
          <w:rFonts w:ascii="仿宋_GB2312" w:eastAsia="仿宋_GB2312" w:hAnsi="黑体" w:cs="Arial Unicode MS"/>
          <w:color w:val="000000"/>
          <w:sz w:val="32"/>
          <w:szCs w:val="32"/>
        </w:rPr>
        <w:t>.</w:t>
      </w:r>
      <w:r>
        <w:rPr>
          <w:rFonts w:ascii="仿宋_GB2312" w:eastAsia="仿宋_GB2312" w:hAnsi="黑体" w:cs="Arial Unicode MS" w:hint="eastAsia"/>
          <w:color w:val="000000"/>
          <w:sz w:val="32"/>
          <w:szCs w:val="32"/>
        </w:rPr>
        <w:t>3</w:t>
      </w:r>
      <w:r>
        <w:rPr>
          <w:rFonts w:ascii="仿宋_GB2312" w:eastAsia="仿宋_GB2312" w:hAnsi="黑体" w:cs="Arial Unicode MS"/>
          <w:color w:val="000000"/>
          <w:sz w:val="32"/>
          <w:szCs w:val="32"/>
        </w:rPr>
        <w:t>条规定扣除相关营业收入</w:t>
      </w:r>
      <w:r>
        <w:rPr>
          <w:rFonts w:ascii="仿宋_GB2312" w:eastAsia="仿宋_GB2312" w:hAnsi="黑体" w:cs="Arial Unicode MS" w:hint="eastAsia"/>
          <w:color w:val="000000"/>
          <w:sz w:val="32"/>
          <w:szCs w:val="32"/>
        </w:rPr>
        <w:t>或者</w:t>
      </w:r>
      <w:r>
        <w:rPr>
          <w:rFonts w:ascii="仿宋_GB2312" w:eastAsia="仿宋_GB2312" w:hAnsi="黑体" w:cs="Arial Unicode MS"/>
          <w:color w:val="000000"/>
          <w:sz w:val="32"/>
          <w:szCs w:val="32"/>
        </w:rPr>
        <w:t>本所根据第1</w:t>
      </w:r>
      <w:r>
        <w:rPr>
          <w:rFonts w:ascii="仿宋_GB2312" w:eastAsia="仿宋_GB2312" w:hAnsi="黑体" w:cs="Arial Unicode MS" w:hint="eastAsia"/>
          <w:color w:val="000000"/>
          <w:sz w:val="32"/>
          <w:szCs w:val="32"/>
        </w:rPr>
        <w:t>2</w:t>
      </w:r>
      <w:r>
        <w:rPr>
          <w:rFonts w:ascii="仿宋_GB2312" w:eastAsia="仿宋_GB2312" w:hAnsi="黑体" w:cs="Arial Unicode MS"/>
          <w:color w:val="000000"/>
          <w:sz w:val="32"/>
          <w:szCs w:val="32"/>
        </w:rPr>
        <w:t>.</w:t>
      </w:r>
      <w:r>
        <w:rPr>
          <w:rFonts w:ascii="仿宋_GB2312" w:eastAsia="仿宋_GB2312" w:hAnsi="黑体" w:cs="Arial Unicode MS" w:hint="eastAsia"/>
          <w:color w:val="000000"/>
          <w:sz w:val="32"/>
          <w:szCs w:val="32"/>
        </w:rPr>
        <w:t>4</w:t>
      </w:r>
      <w:r>
        <w:rPr>
          <w:rFonts w:ascii="仿宋_GB2312" w:eastAsia="仿宋_GB2312" w:hAnsi="黑体" w:cs="Arial Unicode MS"/>
          <w:color w:val="000000"/>
          <w:sz w:val="32"/>
          <w:szCs w:val="32"/>
        </w:rPr>
        <w:t>.</w:t>
      </w:r>
      <w:r>
        <w:rPr>
          <w:rFonts w:ascii="仿宋_GB2312" w:eastAsia="仿宋_GB2312" w:hAnsi="黑体" w:cs="Arial Unicode MS" w:hint="eastAsia"/>
          <w:color w:val="000000"/>
          <w:sz w:val="32"/>
          <w:szCs w:val="32"/>
        </w:rPr>
        <w:t>3</w:t>
      </w:r>
      <w:r>
        <w:rPr>
          <w:rFonts w:ascii="仿宋_GB2312" w:eastAsia="仿宋_GB2312" w:hAnsi="黑体" w:cs="Arial Unicode MS"/>
          <w:color w:val="000000"/>
          <w:sz w:val="32"/>
          <w:szCs w:val="32"/>
        </w:rPr>
        <w:t>条规定要求公司扣除相关营业收入</w:t>
      </w:r>
      <w:r>
        <w:rPr>
          <w:rFonts w:ascii="仿宋_GB2312" w:eastAsia="仿宋_GB2312" w:hAnsi="黑体" w:cs="Arial Unicode MS" w:hint="eastAsia"/>
          <w:color w:val="000000"/>
          <w:sz w:val="32"/>
          <w:szCs w:val="32"/>
        </w:rPr>
        <w:t>，</w:t>
      </w:r>
      <w:r>
        <w:rPr>
          <w:rFonts w:ascii="仿宋_GB2312" w:eastAsia="仿宋_GB2312" w:hAnsi="黑体" w:cs="Arial Unicode MS"/>
          <w:color w:val="000000"/>
          <w:sz w:val="32"/>
          <w:szCs w:val="32"/>
        </w:rPr>
        <w:t>且扣除后公司触及第12.</w:t>
      </w:r>
      <w:r>
        <w:rPr>
          <w:rFonts w:ascii="仿宋_GB2312" w:eastAsia="仿宋_GB2312" w:hAnsi="黑体" w:cs="Arial Unicode MS" w:hint="eastAsia"/>
          <w:color w:val="000000"/>
          <w:sz w:val="32"/>
          <w:szCs w:val="32"/>
        </w:rPr>
        <w:t>4</w:t>
      </w:r>
      <w:r>
        <w:rPr>
          <w:rFonts w:ascii="仿宋_GB2312" w:eastAsia="仿宋_GB2312" w:hAnsi="黑体" w:cs="Arial Unicode MS"/>
          <w:color w:val="000000"/>
          <w:sz w:val="32"/>
          <w:szCs w:val="32"/>
        </w:rPr>
        <w:t>.2条规定退</w:t>
      </w:r>
      <w:proofErr w:type="gramStart"/>
      <w:r>
        <w:rPr>
          <w:rFonts w:ascii="仿宋_GB2312" w:eastAsia="仿宋_GB2312" w:hAnsi="黑体" w:cs="Arial Unicode MS"/>
          <w:color w:val="000000"/>
          <w:sz w:val="32"/>
          <w:szCs w:val="32"/>
        </w:rPr>
        <w:t>市风险</w:t>
      </w:r>
      <w:proofErr w:type="gramEnd"/>
      <w:r>
        <w:rPr>
          <w:rFonts w:ascii="仿宋_GB2312" w:eastAsia="仿宋_GB2312" w:hAnsi="黑体" w:cs="Arial Unicode MS"/>
          <w:color w:val="000000"/>
          <w:sz w:val="32"/>
          <w:szCs w:val="32"/>
        </w:rPr>
        <w:t>警示情形的，公司应当</w:t>
      </w:r>
      <w:r>
        <w:rPr>
          <w:rFonts w:ascii="仿宋_GB2312" w:eastAsia="仿宋_GB2312" w:hAnsi="黑体" w:cs="Arial Unicode MS" w:hint="eastAsia"/>
          <w:color w:val="000000"/>
          <w:sz w:val="32"/>
          <w:szCs w:val="32"/>
        </w:rPr>
        <w:t>立即披露或者</w:t>
      </w:r>
      <w:r>
        <w:rPr>
          <w:rFonts w:ascii="仿宋_GB2312" w:eastAsia="仿宋_GB2312" w:hAnsi="黑体" w:cs="Arial Unicode MS"/>
          <w:color w:val="000000"/>
          <w:sz w:val="32"/>
          <w:szCs w:val="32"/>
        </w:rPr>
        <w:t>在收到本所通知的</w:t>
      </w:r>
      <w:r>
        <w:rPr>
          <w:rFonts w:ascii="仿宋_GB2312" w:eastAsia="仿宋_GB2312" w:hAnsi="黑体" w:cs="Arial Unicode MS" w:hint="eastAsia"/>
          <w:color w:val="000000"/>
          <w:sz w:val="32"/>
          <w:szCs w:val="32"/>
        </w:rPr>
        <w:t>次</w:t>
      </w:r>
      <w:r>
        <w:rPr>
          <w:rFonts w:ascii="仿宋_GB2312" w:eastAsia="仿宋_GB2312" w:hAnsi="黑体" w:cs="Arial Unicode MS"/>
          <w:color w:val="000000"/>
          <w:sz w:val="32"/>
          <w:szCs w:val="32"/>
        </w:rPr>
        <w:t>一交易日披露有关内容，公司股票于公告披露日起停牌。</w:t>
      </w:r>
      <w:r>
        <w:rPr>
          <w:rFonts w:ascii="仿宋_GB2312" w:eastAsia="仿宋_GB2312" w:hAnsi="Arial Unicode MS" w:cs="Arial Unicode MS" w:hint="eastAsia"/>
          <w:color w:val="000000"/>
          <w:sz w:val="32"/>
          <w:szCs w:val="32"/>
        </w:rPr>
        <w:t>披露日为</w:t>
      </w:r>
      <w:proofErr w:type="gramStart"/>
      <w:r>
        <w:rPr>
          <w:rFonts w:ascii="仿宋_GB2312" w:eastAsia="仿宋_GB2312" w:hAnsi="Arial Unicode MS" w:cs="Arial Unicode MS" w:hint="eastAsia"/>
          <w:color w:val="000000"/>
          <w:sz w:val="32"/>
          <w:szCs w:val="32"/>
        </w:rPr>
        <w:t>非交易</w:t>
      </w:r>
      <w:proofErr w:type="gramEnd"/>
      <w:r>
        <w:rPr>
          <w:rFonts w:ascii="仿宋_GB2312" w:eastAsia="仿宋_GB2312" w:hAnsi="Arial Unicode MS" w:cs="Arial Unicode MS" w:hint="eastAsia"/>
          <w:color w:val="000000"/>
          <w:sz w:val="32"/>
          <w:szCs w:val="32"/>
        </w:rPr>
        <w:t>日的，于次一交易日起停牌。</w:t>
      </w:r>
    </w:p>
    <w:p w14:paraId="15117412" w14:textId="77777777" w:rsidR="000C29B8" w:rsidRDefault="00000000">
      <w:pPr>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上市公司出现第</w:t>
      </w:r>
      <w:r>
        <w:rPr>
          <w:rFonts w:ascii="仿宋_GB2312" w:eastAsia="仿宋_GB2312" w:hAnsi="黑体"/>
          <w:sz w:val="32"/>
          <w:szCs w:val="32"/>
        </w:rPr>
        <w:t>12.</w:t>
      </w:r>
      <w:r>
        <w:rPr>
          <w:rFonts w:ascii="仿宋_GB2312" w:eastAsia="仿宋_GB2312" w:hAnsi="黑体" w:hint="eastAsia"/>
          <w:sz w:val="32"/>
          <w:szCs w:val="32"/>
        </w:rPr>
        <w:t>4</w:t>
      </w:r>
      <w:r>
        <w:rPr>
          <w:rFonts w:ascii="仿宋_GB2312" w:eastAsia="仿宋_GB2312" w:hAnsi="黑体"/>
          <w:sz w:val="32"/>
          <w:szCs w:val="32"/>
        </w:rPr>
        <w:t>.</w:t>
      </w:r>
      <w:r>
        <w:rPr>
          <w:rFonts w:ascii="仿宋_GB2312" w:eastAsia="仿宋_GB2312" w:hAnsi="黑体" w:hint="eastAsia"/>
          <w:sz w:val="32"/>
          <w:szCs w:val="32"/>
        </w:rPr>
        <w:t>2</w:t>
      </w:r>
      <w:r>
        <w:rPr>
          <w:rFonts w:ascii="仿宋_GB2312" w:eastAsia="仿宋_GB2312" w:hAnsi="Arial Unicode MS" w:cs="Arial Unicode MS" w:hint="eastAsia"/>
          <w:color w:val="000000"/>
          <w:sz w:val="32"/>
          <w:szCs w:val="32"/>
        </w:rPr>
        <w:t>条第一款第四项规定情形的，应当在收到行政处罚决定书后及时向本所报告，披露</w:t>
      </w:r>
      <w:r>
        <w:rPr>
          <w:rFonts w:ascii="仿宋_GB2312" w:eastAsia="仿宋_GB2312" w:hAnsi="Arial Unicode MS" w:cs="Arial Unicode MS"/>
          <w:color w:val="000000"/>
          <w:sz w:val="32"/>
          <w:szCs w:val="32"/>
        </w:rPr>
        <w:t>有关内容，并向本所</w:t>
      </w:r>
      <w:r>
        <w:rPr>
          <w:rFonts w:ascii="仿宋_GB2312" w:eastAsia="仿宋_GB2312" w:hAnsi="Arial Unicode MS" w:cs="Arial Unicode MS" w:hint="eastAsia"/>
          <w:color w:val="000000"/>
          <w:sz w:val="32"/>
          <w:szCs w:val="32"/>
        </w:rPr>
        <w:t>提交董事会的书面意见。公司股票于行政处罚决定书披露日起停牌。披露日为</w:t>
      </w:r>
      <w:proofErr w:type="gramStart"/>
      <w:r>
        <w:rPr>
          <w:rFonts w:ascii="仿宋_GB2312" w:eastAsia="仿宋_GB2312" w:hAnsi="Arial Unicode MS" w:cs="Arial Unicode MS" w:hint="eastAsia"/>
          <w:color w:val="000000"/>
          <w:sz w:val="32"/>
          <w:szCs w:val="32"/>
        </w:rPr>
        <w:t>非交易</w:t>
      </w:r>
      <w:proofErr w:type="gramEnd"/>
      <w:r>
        <w:rPr>
          <w:rFonts w:ascii="仿宋_GB2312" w:eastAsia="仿宋_GB2312" w:hAnsi="Arial Unicode MS" w:cs="Arial Unicode MS" w:hint="eastAsia"/>
          <w:color w:val="000000"/>
          <w:sz w:val="32"/>
          <w:szCs w:val="32"/>
        </w:rPr>
        <w:t>日的，于次一交易日起停牌。</w:t>
      </w:r>
    </w:p>
    <w:p w14:paraId="599E987A" w14:textId="77777777" w:rsidR="000C29B8" w:rsidRDefault="00000000">
      <w:pPr>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上市公司未及时披露的，本所可以在获悉相关情况后对公司股票实施停牌，并向市场公告。</w:t>
      </w:r>
    </w:p>
    <w:p w14:paraId="344C542B" w14:textId="77777777" w:rsidR="000C29B8" w:rsidRDefault="00000000">
      <w:pPr>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本所在上市公司股票停牌之日起</w:t>
      </w:r>
      <w:r>
        <w:rPr>
          <w:rFonts w:ascii="仿宋_GB2312" w:eastAsia="仿宋_GB2312" w:hAnsi="Arial Unicode MS" w:cs="Arial Unicode MS"/>
          <w:color w:val="000000"/>
          <w:sz w:val="32"/>
          <w:szCs w:val="32"/>
        </w:rPr>
        <w:t>5个交易日内，根据</w:t>
      </w:r>
      <w:r>
        <w:rPr>
          <w:rFonts w:ascii="仿宋_GB2312" w:eastAsia="仿宋_GB2312" w:hAnsi="Arial Unicode MS" w:cs="Arial Unicode MS" w:hint="eastAsia"/>
          <w:color w:val="000000"/>
          <w:sz w:val="32"/>
          <w:szCs w:val="32"/>
        </w:rPr>
        <w:t>规则</w:t>
      </w:r>
      <w:r>
        <w:rPr>
          <w:rFonts w:ascii="仿宋_GB2312" w:eastAsia="仿宋_GB2312" w:hAnsi="Arial Unicode MS" w:cs="Arial Unicode MS"/>
          <w:color w:val="000000"/>
          <w:sz w:val="32"/>
          <w:szCs w:val="32"/>
        </w:rPr>
        <w:t>规定，对公司股票实施退</w:t>
      </w:r>
      <w:proofErr w:type="gramStart"/>
      <w:r>
        <w:rPr>
          <w:rFonts w:ascii="仿宋_GB2312" w:eastAsia="仿宋_GB2312" w:hAnsi="Arial Unicode MS" w:cs="Arial Unicode MS"/>
          <w:color w:val="000000"/>
          <w:sz w:val="32"/>
          <w:szCs w:val="32"/>
        </w:rPr>
        <w:t>市风险</w:t>
      </w:r>
      <w:proofErr w:type="gramEnd"/>
      <w:r>
        <w:rPr>
          <w:rFonts w:ascii="仿宋_GB2312" w:eastAsia="仿宋_GB2312" w:hAnsi="Arial Unicode MS" w:cs="Arial Unicode MS"/>
          <w:color w:val="000000"/>
          <w:sz w:val="32"/>
          <w:szCs w:val="32"/>
        </w:rPr>
        <w:t>警示。公司应</w:t>
      </w:r>
      <w:r>
        <w:rPr>
          <w:rFonts w:ascii="仿宋_GB2312" w:eastAsia="仿宋_GB2312" w:hAnsi="Arial Unicode MS" w:cs="Arial Unicode MS" w:hint="eastAsia"/>
          <w:color w:val="000000"/>
          <w:sz w:val="32"/>
          <w:szCs w:val="32"/>
        </w:rPr>
        <w:t>当</w:t>
      </w:r>
      <w:r>
        <w:rPr>
          <w:rFonts w:ascii="仿宋_GB2312" w:eastAsia="仿宋_GB2312" w:hAnsi="Arial Unicode MS" w:cs="Arial Unicode MS"/>
          <w:color w:val="000000"/>
          <w:sz w:val="32"/>
          <w:szCs w:val="32"/>
        </w:rPr>
        <w:t>按照本所要求在其股票被实施退</w:t>
      </w:r>
      <w:proofErr w:type="gramStart"/>
      <w:r>
        <w:rPr>
          <w:rFonts w:ascii="仿宋_GB2312" w:eastAsia="仿宋_GB2312" w:hAnsi="Arial Unicode MS" w:cs="Arial Unicode MS"/>
          <w:color w:val="000000"/>
          <w:sz w:val="32"/>
          <w:szCs w:val="32"/>
        </w:rPr>
        <w:t>市风险</w:t>
      </w:r>
      <w:proofErr w:type="gramEnd"/>
      <w:r>
        <w:rPr>
          <w:rFonts w:ascii="仿宋_GB2312" w:eastAsia="仿宋_GB2312" w:hAnsi="Arial Unicode MS" w:cs="Arial Unicode MS"/>
          <w:color w:val="000000"/>
          <w:sz w:val="32"/>
          <w:szCs w:val="32"/>
        </w:rPr>
        <w:t>警示前及时发布公告。</w:t>
      </w:r>
      <w:r>
        <w:rPr>
          <w:rFonts w:ascii="仿宋_GB2312" w:eastAsia="仿宋_GB2312" w:hAnsi="Arial Unicode MS" w:cs="Arial Unicode MS" w:hint="eastAsia"/>
          <w:color w:val="000000"/>
          <w:sz w:val="32"/>
          <w:szCs w:val="32"/>
        </w:rPr>
        <w:t>公司股票自公告披露后的次一交易日起复牌。公告披露日为</w:t>
      </w:r>
      <w:proofErr w:type="gramStart"/>
      <w:r>
        <w:rPr>
          <w:rFonts w:ascii="仿宋_GB2312" w:eastAsia="仿宋_GB2312" w:hAnsi="Arial Unicode MS" w:cs="Arial Unicode MS" w:hint="eastAsia"/>
          <w:color w:val="000000"/>
          <w:sz w:val="32"/>
          <w:szCs w:val="32"/>
        </w:rPr>
        <w:t>非交易</w:t>
      </w:r>
      <w:proofErr w:type="gramEnd"/>
      <w:r>
        <w:rPr>
          <w:rFonts w:ascii="仿宋_GB2312" w:eastAsia="仿宋_GB2312" w:hAnsi="Arial Unicode MS" w:cs="Arial Unicode MS" w:hint="eastAsia"/>
          <w:color w:val="000000"/>
          <w:sz w:val="32"/>
          <w:szCs w:val="32"/>
        </w:rPr>
        <w:t>日的，于披露后的第二个交易日起复牌。自复牌之日起，本所对公司股票实施退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w:t>
      </w:r>
    </w:p>
    <w:p w14:paraId="6F45B2E9" w14:textId="77777777" w:rsidR="000C29B8" w:rsidRDefault="00000000">
      <w:pPr>
        <w:numPr>
          <w:ilvl w:val="2"/>
          <w:numId w:val="49"/>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lastRenderedPageBreak/>
        <w:t>研发</w:t>
      </w:r>
      <w:proofErr w:type="gramStart"/>
      <w:r>
        <w:rPr>
          <w:rFonts w:ascii="仿宋_GB2312" w:eastAsia="仿宋_GB2312" w:hAnsi="黑体" w:hint="eastAsia"/>
          <w:sz w:val="32"/>
          <w:szCs w:val="32"/>
        </w:rPr>
        <w:t>型上市</w:t>
      </w:r>
      <w:proofErr w:type="gramEnd"/>
      <w:r>
        <w:rPr>
          <w:rFonts w:ascii="仿宋_GB2312" w:eastAsia="仿宋_GB2312" w:hAnsi="黑体" w:hint="eastAsia"/>
          <w:sz w:val="32"/>
          <w:szCs w:val="32"/>
        </w:rPr>
        <w:t>公司主要产品、业务或者所依赖的基础技术宣告研发失败或者被禁止使用的，公司应当自相关事实发生之日</w:t>
      </w:r>
      <w:proofErr w:type="gramStart"/>
      <w:r>
        <w:rPr>
          <w:rFonts w:ascii="仿宋_GB2312" w:eastAsia="仿宋_GB2312" w:hAnsi="黑体" w:hint="eastAsia"/>
          <w:sz w:val="32"/>
          <w:szCs w:val="32"/>
        </w:rPr>
        <w:t>起申请</w:t>
      </w:r>
      <w:proofErr w:type="gramEnd"/>
      <w:r>
        <w:rPr>
          <w:rFonts w:ascii="仿宋_GB2312" w:eastAsia="仿宋_GB2312" w:hAnsi="黑体" w:hint="eastAsia"/>
          <w:sz w:val="32"/>
          <w:szCs w:val="32"/>
        </w:rPr>
        <w:t>股票停牌，并发布股票可能被实施退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警示的风险提示公告。</w:t>
      </w:r>
    </w:p>
    <w:p w14:paraId="5FED84D0"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公司应当在股票停牌之日起的</w:t>
      </w:r>
      <w:r>
        <w:rPr>
          <w:rFonts w:ascii="仿宋_GB2312" w:eastAsia="仿宋_GB2312" w:hAnsi="黑体"/>
          <w:sz w:val="32"/>
          <w:szCs w:val="32"/>
        </w:rPr>
        <w:t>10</w:t>
      </w:r>
      <w:r>
        <w:rPr>
          <w:rFonts w:ascii="仿宋_GB2312" w:eastAsia="仿宋_GB2312" w:hAnsi="黑体" w:hint="eastAsia"/>
          <w:sz w:val="32"/>
          <w:szCs w:val="32"/>
        </w:rPr>
        <w:t>个交易日内，核查公司其他产品或者业务是否符合第2.1.2条第五项规定要求、公司是否出现第12.4.4条规定情形，并提交报告及披露。公司应当聘请证券公司出具专项意见。除第12.4.8条规定情形外，公司股票于前述报告披露日起复牌。</w:t>
      </w:r>
    </w:p>
    <w:p w14:paraId="360CF641" w14:textId="77777777" w:rsidR="000C29B8" w:rsidRDefault="00000000">
      <w:pPr>
        <w:numPr>
          <w:ilvl w:val="2"/>
          <w:numId w:val="49"/>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研发</w:t>
      </w:r>
      <w:proofErr w:type="gramStart"/>
      <w:r>
        <w:rPr>
          <w:rFonts w:ascii="仿宋_GB2312" w:eastAsia="仿宋_GB2312" w:hAnsi="黑体" w:hint="eastAsia"/>
          <w:sz w:val="32"/>
          <w:szCs w:val="32"/>
        </w:rPr>
        <w:t>型上市</w:t>
      </w:r>
      <w:proofErr w:type="gramEnd"/>
      <w:r>
        <w:rPr>
          <w:rFonts w:ascii="仿宋_GB2312" w:eastAsia="仿宋_GB2312" w:hAnsi="黑体" w:hint="eastAsia"/>
          <w:sz w:val="32"/>
          <w:szCs w:val="32"/>
        </w:rPr>
        <w:t>公司未在规定期限内提交报告，或者核查后认为未出现第1</w:t>
      </w:r>
      <w:r>
        <w:rPr>
          <w:rFonts w:ascii="仿宋_GB2312" w:eastAsia="仿宋_GB2312" w:hAnsi="黑体"/>
          <w:sz w:val="32"/>
          <w:szCs w:val="32"/>
        </w:rPr>
        <w:t>2.4.</w:t>
      </w:r>
      <w:r>
        <w:rPr>
          <w:rFonts w:ascii="仿宋_GB2312" w:eastAsia="仿宋_GB2312" w:hAnsi="黑体" w:hint="eastAsia"/>
          <w:sz w:val="32"/>
          <w:szCs w:val="32"/>
        </w:rPr>
        <w:t>4条规定情形的，本所可以提请上市委员会对公司是否出现第1</w:t>
      </w:r>
      <w:r>
        <w:rPr>
          <w:rFonts w:ascii="仿宋_GB2312" w:eastAsia="仿宋_GB2312" w:hAnsi="黑体"/>
          <w:sz w:val="32"/>
          <w:szCs w:val="32"/>
        </w:rPr>
        <w:t>2.4.</w:t>
      </w:r>
      <w:r>
        <w:rPr>
          <w:rFonts w:ascii="仿宋_GB2312" w:eastAsia="仿宋_GB2312" w:hAnsi="黑体" w:hint="eastAsia"/>
          <w:sz w:val="32"/>
          <w:szCs w:val="32"/>
        </w:rPr>
        <w:t>4条规定情形</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认定，并通知上市公司。</w:t>
      </w:r>
    </w:p>
    <w:p w14:paraId="2A4FFB86"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黑体" w:hint="eastAsia"/>
          <w:sz w:val="32"/>
          <w:szCs w:val="32"/>
        </w:rPr>
        <w:t>公司及证券公司核查后认为或者本所认定公司出现第1</w:t>
      </w:r>
      <w:r>
        <w:rPr>
          <w:rFonts w:ascii="仿宋_GB2312" w:eastAsia="仿宋_GB2312" w:hAnsi="黑体"/>
          <w:sz w:val="32"/>
          <w:szCs w:val="32"/>
        </w:rPr>
        <w:t>2.4.</w:t>
      </w:r>
      <w:r>
        <w:rPr>
          <w:rFonts w:ascii="仿宋_GB2312" w:eastAsia="仿宋_GB2312" w:hAnsi="黑体" w:hint="eastAsia"/>
          <w:sz w:val="32"/>
          <w:szCs w:val="32"/>
        </w:rPr>
        <w:t>4条规定情形的，本所自收到公司提交的相关报告或者</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认定后5个交易日内，对公司股票实施退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警示。公司应当按照本所要求在其股票被实施退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警示前及时发布公告。</w:t>
      </w:r>
      <w:r>
        <w:rPr>
          <w:rFonts w:ascii="仿宋_GB2312" w:eastAsia="仿宋_GB2312" w:hAnsi="Arial Unicode MS" w:cs="Arial Unicode MS" w:hint="eastAsia"/>
          <w:color w:val="000000"/>
          <w:sz w:val="32"/>
          <w:szCs w:val="32"/>
        </w:rPr>
        <w:t>公司股票自公告披露后的次一交易日起复牌。公告披露日为</w:t>
      </w:r>
      <w:proofErr w:type="gramStart"/>
      <w:r>
        <w:rPr>
          <w:rFonts w:ascii="仿宋_GB2312" w:eastAsia="仿宋_GB2312" w:hAnsi="Arial Unicode MS" w:cs="Arial Unicode MS" w:hint="eastAsia"/>
          <w:color w:val="000000"/>
          <w:sz w:val="32"/>
          <w:szCs w:val="32"/>
        </w:rPr>
        <w:t>非交易</w:t>
      </w:r>
      <w:proofErr w:type="gramEnd"/>
      <w:r>
        <w:rPr>
          <w:rFonts w:ascii="仿宋_GB2312" w:eastAsia="仿宋_GB2312" w:hAnsi="Arial Unicode MS" w:cs="Arial Unicode MS" w:hint="eastAsia"/>
          <w:color w:val="000000"/>
          <w:sz w:val="32"/>
          <w:szCs w:val="32"/>
        </w:rPr>
        <w:t>日的，于披露后的第二个交易日起复牌。自复牌之日起，本所对公司股票实施退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w:t>
      </w:r>
    </w:p>
    <w:p w14:paraId="59710A56" w14:textId="77777777" w:rsidR="000C29B8" w:rsidRDefault="00000000">
      <w:pPr>
        <w:numPr>
          <w:ilvl w:val="2"/>
          <w:numId w:val="49"/>
        </w:numPr>
        <w:tabs>
          <w:tab w:val="left" w:pos="1560"/>
        </w:tabs>
        <w:snapToGrid w:val="0"/>
        <w:spacing w:line="560" w:lineRule="exact"/>
        <w:ind w:left="0" w:firstLineChars="200" w:firstLine="640"/>
        <w:rPr>
          <w:rFonts w:ascii="仿宋_GB2312" w:eastAsia="仿宋_GB2312" w:hAnsi="Arial Unicode MS" w:cs="Arial Unicode MS"/>
          <w:color w:val="000000"/>
          <w:sz w:val="32"/>
          <w:szCs w:val="32"/>
        </w:rPr>
      </w:pPr>
      <w:r>
        <w:rPr>
          <w:rFonts w:ascii="仿宋_GB2312" w:eastAsia="仿宋_GB2312" w:hAnsi="黑体" w:hint="eastAsia"/>
          <w:sz w:val="32"/>
          <w:szCs w:val="32"/>
        </w:rPr>
        <w:t>上市公司因第12.4.2条</w:t>
      </w:r>
      <w:r>
        <w:rPr>
          <w:rFonts w:ascii="仿宋_GB2312" w:eastAsia="仿宋_GB2312" w:hAnsi="Arial Unicode MS" w:cs="Arial Unicode MS" w:hint="eastAsia"/>
          <w:color w:val="000000"/>
          <w:sz w:val="32"/>
          <w:szCs w:val="32"/>
        </w:rPr>
        <w:t>第一款</w:t>
      </w:r>
      <w:r>
        <w:rPr>
          <w:rFonts w:ascii="仿宋_GB2312" w:eastAsia="仿宋_GB2312" w:hAnsi="黑体" w:hint="eastAsia"/>
          <w:sz w:val="32"/>
          <w:szCs w:val="32"/>
        </w:rPr>
        <w:t>第一项</w:t>
      </w:r>
      <w:r>
        <w:rPr>
          <w:rFonts w:ascii="仿宋_GB2312" w:eastAsia="仿宋_GB2312" w:hAnsi="黑体"/>
          <w:sz w:val="32"/>
          <w:szCs w:val="32"/>
        </w:rPr>
        <w:t>至第三项</w:t>
      </w:r>
      <w:r>
        <w:rPr>
          <w:rFonts w:ascii="仿宋_GB2312" w:eastAsia="仿宋_GB2312" w:hAnsi="黑体" w:hint="eastAsia"/>
          <w:sz w:val="32"/>
          <w:szCs w:val="32"/>
        </w:rPr>
        <w:t>规定的标准，其股票被实施退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警示的，应当在其股票被实施退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警示当年的会计年度结束后一个月内，披露股票可能被终止上市的风险提示公告，并在首次风险提示公</w:t>
      </w:r>
      <w:r>
        <w:rPr>
          <w:rFonts w:ascii="仿宋_GB2312" w:eastAsia="仿宋_GB2312" w:hAnsi="黑体" w:hint="eastAsia"/>
          <w:sz w:val="32"/>
          <w:szCs w:val="32"/>
        </w:rPr>
        <w:lastRenderedPageBreak/>
        <w:t>告披露后至年度报告披露前，每10个交易日披露一次风险提示公告。本所可以视情况要求公司增加风险提示公告的披露次数。</w:t>
      </w:r>
    </w:p>
    <w:p w14:paraId="60A66A18"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上市公司因第12.4.2条第一款第一项至第三项规定的标准，其股票被实施退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警示后，应当分别在年度报告预约披露日前20个交易日和10个交易日，披露年度报告编制及最新审计进展情况。</w:t>
      </w:r>
    </w:p>
    <w:p w14:paraId="6B41074A"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上市公司股票因第12.4.2条第一款第四项规定情形，或者因追溯重述导致触及第12.4.2条第一款第一项、第二项规定情形，被实施退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警示的，公司应当在披露实际触及退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警示情形相应年度次</w:t>
      </w:r>
      <w:proofErr w:type="gramStart"/>
      <w:r>
        <w:rPr>
          <w:rFonts w:ascii="仿宋_GB2312" w:eastAsia="仿宋_GB2312" w:hAnsi="黑体" w:hint="eastAsia"/>
          <w:sz w:val="32"/>
          <w:szCs w:val="32"/>
        </w:rPr>
        <w:t>一</w:t>
      </w:r>
      <w:proofErr w:type="gramEnd"/>
      <w:r>
        <w:rPr>
          <w:rFonts w:ascii="仿宋_GB2312" w:eastAsia="仿宋_GB2312" w:hAnsi="黑体" w:hint="eastAsia"/>
          <w:sz w:val="32"/>
          <w:szCs w:val="32"/>
        </w:rPr>
        <w:t>年度的年度报告前参照本条前两款相关要求执行。</w:t>
      </w:r>
    </w:p>
    <w:p w14:paraId="38C1834A" w14:textId="77777777" w:rsidR="000C29B8" w:rsidRDefault="00000000">
      <w:pPr>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黑体" w:hint="eastAsia"/>
          <w:sz w:val="32"/>
          <w:szCs w:val="32"/>
        </w:rPr>
        <w:t>上市公司因第12.4.4条规定的标准，其股票被实施退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警示的，在其股票被实施退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警示期间，上市公司应当每个月披露一次风险提示公告，提示其股票可能被终止上市的风险。</w:t>
      </w:r>
    </w:p>
    <w:p w14:paraId="72D68CD0" w14:textId="77777777" w:rsidR="000C29B8" w:rsidRDefault="00000000">
      <w:pPr>
        <w:numPr>
          <w:ilvl w:val="2"/>
          <w:numId w:val="49"/>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Arial Unicode MS" w:cs="Arial Unicode MS" w:hint="eastAsia"/>
          <w:color w:val="000000"/>
          <w:sz w:val="32"/>
          <w:szCs w:val="32"/>
        </w:rPr>
        <w:t>上市公司股票因第</w:t>
      </w:r>
      <w:r>
        <w:rPr>
          <w:rFonts w:ascii="仿宋_GB2312" w:eastAsia="仿宋_GB2312" w:hAnsi="Arial Unicode MS" w:cs="Arial Unicode MS"/>
          <w:color w:val="000000"/>
          <w:sz w:val="32"/>
          <w:szCs w:val="32"/>
        </w:rPr>
        <w:t>12.4.2条</w:t>
      </w:r>
      <w:r>
        <w:rPr>
          <w:rFonts w:ascii="仿宋_GB2312" w:eastAsia="仿宋_GB2312" w:hAnsi="Arial Unicode MS" w:cs="Arial Unicode MS" w:hint="eastAsia"/>
          <w:color w:val="000000"/>
          <w:sz w:val="32"/>
          <w:szCs w:val="32"/>
        </w:rPr>
        <w:t>被实施退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警示后，最近一个会计年度未出现下列情形</w:t>
      </w:r>
      <w:r>
        <w:rPr>
          <w:rFonts w:ascii="仿宋_GB2312" w:eastAsia="仿宋_GB2312" w:hAnsi="Arial Unicode MS" w:cs="Arial Unicode MS"/>
          <w:color w:val="000000"/>
          <w:sz w:val="32"/>
          <w:szCs w:val="32"/>
        </w:rPr>
        <w:t>的</w:t>
      </w:r>
      <w:r>
        <w:rPr>
          <w:rFonts w:ascii="仿宋_GB2312" w:eastAsia="仿宋_GB2312" w:hAnsi="Arial Unicode MS" w:cs="Arial Unicode MS" w:hint="eastAsia"/>
          <w:color w:val="000000"/>
          <w:sz w:val="32"/>
          <w:szCs w:val="32"/>
        </w:rPr>
        <w:t>，公司可以在年度报告披露后5个交易日内，向本所申请撤销对其股票实施的退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警示并</w:t>
      </w:r>
      <w:r>
        <w:rPr>
          <w:rFonts w:ascii="仿宋_GB2312" w:eastAsia="仿宋_GB2312" w:hAnsi="Arial Unicode MS" w:cs="Arial Unicode MS"/>
          <w:color w:val="000000"/>
          <w:sz w:val="32"/>
          <w:szCs w:val="32"/>
        </w:rPr>
        <w:t>披露</w:t>
      </w:r>
      <w:r>
        <w:rPr>
          <w:rFonts w:ascii="仿宋_GB2312" w:eastAsia="仿宋_GB2312" w:hAnsi="Arial Unicode MS" w:cs="Arial Unicode MS" w:hint="eastAsia"/>
          <w:color w:val="000000"/>
          <w:sz w:val="32"/>
          <w:szCs w:val="32"/>
        </w:rPr>
        <w:t>：</w:t>
      </w:r>
    </w:p>
    <w:p w14:paraId="2BE50D16"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（一</w:t>
      </w:r>
      <w:r>
        <w:rPr>
          <w:rFonts w:ascii="仿宋_GB2312" w:eastAsia="仿宋_GB2312" w:hAnsi="黑体"/>
          <w:sz w:val="32"/>
          <w:szCs w:val="32"/>
        </w:rPr>
        <w:t>）</w:t>
      </w:r>
      <w:r>
        <w:rPr>
          <w:rFonts w:ascii="仿宋_GB2312" w:eastAsia="仿宋_GB2312" w:hAnsi="黑体" w:hint="eastAsia"/>
          <w:sz w:val="32"/>
          <w:szCs w:val="32"/>
        </w:rPr>
        <w:t>第12.4.2条第一款第一项至第三项规定的任一情形；</w:t>
      </w:r>
    </w:p>
    <w:p w14:paraId="0D33D2D9"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（二）年度财务会计报告被出具保留意见审计报告；</w:t>
      </w:r>
    </w:p>
    <w:p w14:paraId="182C77BF"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（三）财务报告内部控制被出具无法表示意见或者否定</w:t>
      </w:r>
      <w:r>
        <w:rPr>
          <w:rFonts w:ascii="仿宋_GB2312" w:eastAsia="仿宋_GB2312" w:hAnsi="黑体" w:hint="eastAsia"/>
          <w:sz w:val="32"/>
          <w:szCs w:val="32"/>
        </w:rPr>
        <w:lastRenderedPageBreak/>
        <w:t>意见的审计报告，或者未按照相关规定披露财务报告内部控制审计报告，但公司因进行破产重整、重组上市或者重大资产重组，按照相关规定无法披露财务报告内部控制审计报告的除外；</w:t>
      </w:r>
    </w:p>
    <w:p w14:paraId="7CFA949A"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（四）未在法定期限内披露年度报告；</w:t>
      </w:r>
    </w:p>
    <w:p w14:paraId="3423DD52"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（五）半数以上董事无法保证公司所披露年度报告的真实性、准确性和完整性，</w:t>
      </w:r>
      <w:r>
        <w:rPr>
          <w:rFonts w:ascii="仿宋_GB2312" w:eastAsia="仿宋_GB2312" w:hAnsi="Arial Unicode MS" w:cs="Arial Unicode MS" w:hint="eastAsia"/>
          <w:color w:val="000000"/>
          <w:sz w:val="32"/>
          <w:szCs w:val="32"/>
        </w:rPr>
        <w:t>且未在法定期限内改正</w:t>
      </w:r>
      <w:r>
        <w:rPr>
          <w:rFonts w:ascii="仿宋_GB2312" w:eastAsia="仿宋_GB2312" w:hAnsi="黑体" w:hint="eastAsia"/>
          <w:sz w:val="32"/>
          <w:szCs w:val="32"/>
        </w:rPr>
        <w:t>。</w:t>
      </w:r>
    </w:p>
    <w:p w14:paraId="5EEE528D"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上市公司股票因第1</w:t>
      </w:r>
      <w:r>
        <w:rPr>
          <w:rFonts w:ascii="仿宋_GB2312" w:eastAsia="仿宋_GB2312" w:hAnsi="黑体"/>
          <w:sz w:val="32"/>
          <w:szCs w:val="32"/>
        </w:rPr>
        <w:t>2.4.2</w:t>
      </w:r>
      <w:r>
        <w:rPr>
          <w:rFonts w:ascii="仿宋_GB2312" w:eastAsia="仿宋_GB2312" w:hAnsi="黑体" w:hint="eastAsia"/>
          <w:sz w:val="32"/>
          <w:szCs w:val="32"/>
        </w:rPr>
        <w:t>条第一款规定情形被实施退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后，最近一个会计年度经审计利润总额、净利润或者扣除非经常性损益后的净利润孰低者为负值的，公司应当在年度报告中披露营业收入扣除情况及扣除后的营业收入金额,负责审计的会计师事务所就公司营业收入扣除事项是否符合第1</w:t>
      </w:r>
      <w:r>
        <w:rPr>
          <w:rFonts w:ascii="仿宋_GB2312" w:eastAsia="仿宋_GB2312" w:hAnsi="黑体"/>
          <w:sz w:val="32"/>
          <w:szCs w:val="32"/>
        </w:rPr>
        <w:t>2.4.</w:t>
      </w:r>
      <w:r>
        <w:rPr>
          <w:rFonts w:ascii="仿宋_GB2312" w:eastAsia="仿宋_GB2312" w:hAnsi="黑体" w:hint="eastAsia"/>
          <w:sz w:val="32"/>
          <w:szCs w:val="32"/>
        </w:rPr>
        <w:t>3条规定及扣除后的营业收入金额出具专项核查意见。</w:t>
      </w:r>
    </w:p>
    <w:p w14:paraId="77E1DB2A"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sz w:val="32"/>
          <w:szCs w:val="32"/>
        </w:rPr>
        <w:t>上市公司因财务会计数据被追溯重述或者行政处罚导致相关财务指标符合12.4.2条第一款第一项、第二项规定被实施退</w:t>
      </w:r>
      <w:proofErr w:type="gramStart"/>
      <w:r>
        <w:rPr>
          <w:rFonts w:ascii="仿宋_GB2312" w:eastAsia="仿宋_GB2312" w:hAnsi="黑体"/>
          <w:sz w:val="32"/>
          <w:szCs w:val="32"/>
        </w:rPr>
        <w:t>市风险</w:t>
      </w:r>
      <w:proofErr w:type="gramEnd"/>
      <w:r>
        <w:rPr>
          <w:rFonts w:ascii="仿宋_GB2312" w:eastAsia="仿宋_GB2312" w:hAnsi="黑体"/>
          <w:sz w:val="32"/>
          <w:szCs w:val="32"/>
        </w:rPr>
        <w:t>警示的，</w:t>
      </w:r>
      <w:r>
        <w:rPr>
          <w:rFonts w:ascii="仿宋_GB2312" w:eastAsia="仿宋_GB2312" w:hAnsi="黑体" w:hint="eastAsia"/>
          <w:sz w:val="32"/>
          <w:szCs w:val="32"/>
        </w:rPr>
        <w:t>最近一个</w:t>
      </w:r>
      <w:r>
        <w:rPr>
          <w:rFonts w:ascii="仿宋_GB2312" w:eastAsia="仿宋_GB2312" w:hAnsi="黑体"/>
          <w:sz w:val="32"/>
          <w:szCs w:val="32"/>
        </w:rPr>
        <w:t>会计年度指前述财务指标</w:t>
      </w:r>
      <w:r>
        <w:rPr>
          <w:rFonts w:ascii="仿宋_GB2312" w:eastAsia="仿宋_GB2312" w:hAnsi="黑体" w:hint="eastAsia"/>
          <w:sz w:val="32"/>
          <w:szCs w:val="32"/>
        </w:rPr>
        <w:t>所属</w:t>
      </w:r>
      <w:r>
        <w:rPr>
          <w:rFonts w:ascii="仿宋_GB2312" w:eastAsia="仿宋_GB2312" w:hAnsi="黑体"/>
          <w:sz w:val="32"/>
          <w:szCs w:val="32"/>
        </w:rPr>
        <w:t>会计年度的下一个会计年度。</w:t>
      </w:r>
    </w:p>
    <w:p w14:paraId="2EA1C256"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研发</w:t>
      </w:r>
      <w:proofErr w:type="gramStart"/>
      <w:r>
        <w:rPr>
          <w:rFonts w:ascii="仿宋_GB2312" w:eastAsia="仿宋_GB2312" w:hAnsi="Arial Unicode MS" w:cs="Arial Unicode MS" w:hint="eastAsia"/>
          <w:color w:val="000000"/>
          <w:sz w:val="32"/>
          <w:szCs w:val="32"/>
        </w:rPr>
        <w:t>型上市</w:t>
      </w:r>
      <w:proofErr w:type="gramEnd"/>
      <w:r>
        <w:rPr>
          <w:rFonts w:ascii="仿宋_GB2312" w:eastAsia="仿宋_GB2312" w:hAnsi="Arial Unicode MS" w:cs="Arial Unicode MS" w:hint="eastAsia"/>
          <w:color w:val="000000"/>
          <w:sz w:val="32"/>
          <w:szCs w:val="32"/>
        </w:rPr>
        <w:t>公司因第</w:t>
      </w:r>
      <w:r>
        <w:rPr>
          <w:rFonts w:ascii="仿宋_GB2312" w:eastAsia="仿宋_GB2312" w:hAnsi="Arial Unicode MS" w:cs="Arial Unicode MS"/>
          <w:color w:val="000000"/>
          <w:sz w:val="32"/>
          <w:szCs w:val="32"/>
        </w:rPr>
        <w:t>12.4.</w:t>
      </w:r>
      <w:r>
        <w:rPr>
          <w:rFonts w:ascii="仿宋_GB2312" w:eastAsia="仿宋_GB2312" w:hAnsi="Arial Unicode MS" w:cs="Arial Unicode MS" w:hint="eastAsia"/>
          <w:color w:val="000000"/>
          <w:sz w:val="32"/>
          <w:szCs w:val="32"/>
        </w:rPr>
        <w:t>4</w:t>
      </w:r>
      <w:r>
        <w:rPr>
          <w:rFonts w:ascii="仿宋_GB2312" w:eastAsia="仿宋_GB2312" w:hAnsi="Arial Unicode MS" w:cs="Arial Unicode MS"/>
          <w:color w:val="000000"/>
          <w:sz w:val="32"/>
          <w:szCs w:val="32"/>
        </w:rPr>
        <w:t>条被实施退</w:t>
      </w:r>
      <w:proofErr w:type="gramStart"/>
      <w:r>
        <w:rPr>
          <w:rFonts w:ascii="仿宋_GB2312" w:eastAsia="仿宋_GB2312" w:hAnsi="Arial Unicode MS" w:cs="Arial Unicode MS"/>
          <w:color w:val="000000"/>
          <w:sz w:val="32"/>
          <w:szCs w:val="32"/>
        </w:rPr>
        <w:t>市风险</w:t>
      </w:r>
      <w:proofErr w:type="gramEnd"/>
      <w:r>
        <w:rPr>
          <w:rFonts w:ascii="仿宋_GB2312" w:eastAsia="仿宋_GB2312" w:hAnsi="Arial Unicode MS" w:cs="Arial Unicode MS"/>
          <w:color w:val="000000"/>
          <w:sz w:val="32"/>
          <w:szCs w:val="32"/>
        </w:rPr>
        <w:t>警示后，</w:t>
      </w:r>
      <w:r>
        <w:rPr>
          <w:rFonts w:ascii="仿宋_GB2312" w:eastAsia="仿宋_GB2312" w:hAnsi="Arial Unicode MS" w:cs="Arial Unicode MS" w:hint="eastAsia"/>
          <w:color w:val="000000"/>
          <w:sz w:val="32"/>
          <w:szCs w:val="32"/>
        </w:rPr>
        <w:t>自股票被实施退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警示之日起</w:t>
      </w:r>
      <w:r>
        <w:rPr>
          <w:rFonts w:ascii="仿宋_GB2312" w:eastAsia="仿宋_GB2312" w:hAnsi="Arial Unicode MS" w:cs="Arial Unicode MS"/>
          <w:color w:val="000000"/>
          <w:sz w:val="32"/>
          <w:szCs w:val="32"/>
        </w:rPr>
        <w:t>6</w:t>
      </w:r>
      <w:r>
        <w:rPr>
          <w:rFonts w:ascii="仿宋_GB2312" w:eastAsia="仿宋_GB2312" w:hAnsi="Arial Unicode MS" w:cs="Arial Unicode MS" w:hint="eastAsia"/>
          <w:color w:val="000000"/>
          <w:sz w:val="32"/>
          <w:szCs w:val="32"/>
        </w:rPr>
        <w:t>个月内，公司市值及相关产品、业务等指标符合本</w:t>
      </w:r>
      <w:proofErr w:type="gramStart"/>
      <w:r>
        <w:rPr>
          <w:rFonts w:ascii="仿宋_GB2312" w:eastAsia="仿宋_GB2312" w:hAnsi="Arial Unicode MS" w:cs="Arial Unicode MS" w:hint="eastAsia"/>
          <w:color w:val="000000"/>
          <w:sz w:val="32"/>
          <w:szCs w:val="32"/>
        </w:rPr>
        <w:t>规则第2</w:t>
      </w:r>
      <w:proofErr w:type="gramEnd"/>
      <w:r>
        <w:rPr>
          <w:rFonts w:ascii="仿宋_GB2312" w:eastAsia="仿宋_GB2312" w:hAnsi="Arial Unicode MS" w:cs="Arial Unicode MS"/>
          <w:color w:val="000000"/>
          <w:sz w:val="32"/>
          <w:szCs w:val="32"/>
        </w:rPr>
        <w:t>.1.2</w:t>
      </w:r>
      <w:r>
        <w:rPr>
          <w:rFonts w:ascii="仿宋_GB2312" w:eastAsia="仿宋_GB2312" w:hAnsi="Arial Unicode MS" w:cs="Arial Unicode MS" w:hint="eastAsia"/>
          <w:color w:val="000000"/>
          <w:sz w:val="32"/>
          <w:szCs w:val="32"/>
        </w:rPr>
        <w:t>条第五项规定要求的，应当在符合条件时及时披露，并说明是否向本所申请撤销退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警示。公司可以</w:t>
      </w:r>
      <w:r>
        <w:rPr>
          <w:rFonts w:ascii="仿宋_GB2312" w:eastAsia="仿宋_GB2312" w:hAnsi="黑体" w:hint="eastAsia"/>
          <w:sz w:val="32"/>
          <w:szCs w:val="32"/>
        </w:rPr>
        <w:t>在披露之日起的5个交易日内，</w:t>
      </w:r>
      <w:r>
        <w:rPr>
          <w:rFonts w:ascii="仿宋_GB2312" w:eastAsia="仿宋_GB2312" w:hAnsi="Arial Unicode MS" w:cs="Arial Unicode MS" w:hint="eastAsia"/>
          <w:color w:val="000000"/>
          <w:sz w:val="32"/>
          <w:szCs w:val="32"/>
        </w:rPr>
        <w:t>向本所申请撤销对其股票实施的退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警示并披露。</w:t>
      </w:r>
    </w:p>
    <w:p w14:paraId="0EA91C43"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Arial Unicode MS" w:cs="Arial Unicode MS" w:hint="eastAsia"/>
          <w:color w:val="000000"/>
          <w:sz w:val="32"/>
          <w:szCs w:val="32"/>
        </w:rPr>
        <w:lastRenderedPageBreak/>
        <w:t>上市公司不符合本条规定的撤销退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警示条件或者未在规定期限内申请撤销退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警示的，本所决定终止其股票上市。</w:t>
      </w:r>
    </w:p>
    <w:p w14:paraId="08ADE09A" w14:textId="77777777" w:rsidR="000C29B8" w:rsidRDefault="00000000">
      <w:pPr>
        <w:numPr>
          <w:ilvl w:val="2"/>
          <w:numId w:val="49"/>
        </w:numPr>
        <w:tabs>
          <w:tab w:val="left" w:pos="1560"/>
        </w:tabs>
        <w:snapToGrid w:val="0"/>
        <w:spacing w:line="560" w:lineRule="exact"/>
        <w:ind w:left="0"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上市公司提交完备的申请材料的，本所在15个交易日内</w:t>
      </w:r>
      <w:proofErr w:type="gramStart"/>
      <w:r>
        <w:rPr>
          <w:rFonts w:ascii="仿宋_GB2312" w:eastAsia="仿宋_GB2312" w:hAnsi="Arial Unicode MS" w:cs="Arial Unicode MS" w:hint="eastAsia"/>
          <w:color w:val="000000"/>
          <w:sz w:val="32"/>
          <w:szCs w:val="32"/>
        </w:rPr>
        <w:t>作出</w:t>
      </w:r>
      <w:proofErr w:type="gramEnd"/>
      <w:r>
        <w:rPr>
          <w:rFonts w:ascii="仿宋_GB2312" w:eastAsia="仿宋_GB2312" w:hAnsi="Arial Unicode MS" w:cs="Arial Unicode MS" w:hint="eastAsia"/>
          <w:color w:val="000000"/>
          <w:sz w:val="32"/>
          <w:szCs w:val="32"/>
        </w:rPr>
        <w:t>是否撤销退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警示的决定。在此期间，本所要求公司提供补充材料的，公司应当在本所规定期限内提供有关材料。公司补充材料期间不计入本所</w:t>
      </w:r>
      <w:proofErr w:type="gramStart"/>
      <w:r>
        <w:rPr>
          <w:rFonts w:ascii="仿宋_GB2312" w:eastAsia="仿宋_GB2312" w:hAnsi="Arial Unicode MS" w:cs="Arial Unicode MS" w:hint="eastAsia"/>
          <w:color w:val="000000"/>
          <w:sz w:val="32"/>
          <w:szCs w:val="32"/>
        </w:rPr>
        <w:t>作出</w:t>
      </w:r>
      <w:proofErr w:type="gramEnd"/>
      <w:r>
        <w:rPr>
          <w:rFonts w:ascii="仿宋_GB2312" w:eastAsia="仿宋_GB2312" w:hAnsi="Arial Unicode MS" w:cs="Arial Unicode MS" w:hint="eastAsia"/>
          <w:color w:val="000000"/>
          <w:sz w:val="32"/>
          <w:szCs w:val="32"/>
        </w:rPr>
        <w:t>有关决定的期限。</w:t>
      </w:r>
    </w:p>
    <w:p w14:paraId="118E3882" w14:textId="77777777" w:rsidR="000C29B8" w:rsidRDefault="00000000">
      <w:pPr>
        <w:numPr>
          <w:ilvl w:val="2"/>
          <w:numId w:val="49"/>
        </w:numPr>
        <w:tabs>
          <w:tab w:val="left" w:pos="1560"/>
        </w:tabs>
        <w:snapToGrid w:val="0"/>
        <w:spacing w:line="560" w:lineRule="exact"/>
        <w:ind w:left="0"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本所决定撤销退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警示的，上市公司应当按照本所要求在</w:t>
      </w:r>
      <w:r>
        <w:rPr>
          <w:rFonts w:ascii="仿宋_GB2312" w:eastAsia="仿宋_GB2312" w:hAnsi="Arial Unicode MS" w:cs="Arial Unicode MS"/>
          <w:color w:val="000000"/>
          <w:sz w:val="32"/>
          <w:szCs w:val="32"/>
        </w:rPr>
        <w:t>撤销退</w:t>
      </w:r>
      <w:proofErr w:type="gramStart"/>
      <w:r>
        <w:rPr>
          <w:rFonts w:ascii="仿宋_GB2312" w:eastAsia="仿宋_GB2312" w:hAnsi="Arial Unicode MS" w:cs="Arial Unicode MS"/>
          <w:color w:val="000000"/>
          <w:sz w:val="32"/>
          <w:szCs w:val="32"/>
        </w:rPr>
        <w:t>市风险</w:t>
      </w:r>
      <w:proofErr w:type="gramEnd"/>
      <w:r>
        <w:rPr>
          <w:rFonts w:ascii="仿宋_GB2312" w:eastAsia="仿宋_GB2312" w:hAnsi="Arial Unicode MS" w:cs="Arial Unicode MS"/>
          <w:color w:val="000000"/>
          <w:sz w:val="32"/>
          <w:szCs w:val="32"/>
        </w:rPr>
        <w:t>警示</w:t>
      </w:r>
      <w:r>
        <w:rPr>
          <w:rFonts w:ascii="仿宋_GB2312" w:eastAsia="仿宋_GB2312" w:hAnsi="黑体" w:hint="eastAsia"/>
          <w:sz w:val="32"/>
          <w:szCs w:val="32"/>
        </w:rPr>
        <w:t>之前一个交易日</w:t>
      </w:r>
      <w:r>
        <w:rPr>
          <w:rFonts w:ascii="仿宋_GB2312" w:eastAsia="仿宋_GB2312" w:hAnsi="Arial Unicode MS" w:cs="Arial Unicode MS"/>
          <w:color w:val="000000"/>
          <w:sz w:val="32"/>
          <w:szCs w:val="32"/>
        </w:rPr>
        <w:t>披露</w:t>
      </w:r>
      <w:r>
        <w:rPr>
          <w:rFonts w:ascii="仿宋_GB2312" w:eastAsia="仿宋_GB2312" w:hAnsi="Arial Unicode MS" w:cs="Arial Unicode MS" w:hint="eastAsia"/>
          <w:color w:val="000000"/>
          <w:sz w:val="32"/>
          <w:szCs w:val="32"/>
        </w:rPr>
        <w:t>公告。公司股票在公告披露日停牌一天，本所自复牌之日起撤销对公司股票实施的退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w:t>
      </w:r>
    </w:p>
    <w:p w14:paraId="181A8E6C" w14:textId="77777777" w:rsidR="000C29B8" w:rsidRDefault="00000000">
      <w:pPr>
        <w:numPr>
          <w:ilvl w:val="2"/>
          <w:numId w:val="49"/>
        </w:numPr>
        <w:tabs>
          <w:tab w:val="left" w:pos="1560"/>
        </w:tabs>
        <w:snapToGrid w:val="0"/>
        <w:spacing w:line="560" w:lineRule="exact"/>
        <w:ind w:left="0"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本所决定不予撤销退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警示的，</w:t>
      </w:r>
      <w:r>
        <w:rPr>
          <w:rFonts w:ascii="仿宋_GB2312" w:eastAsia="仿宋_GB2312" w:hAnsi="黑体" w:hint="eastAsia"/>
          <w:sz w:val="32"/>
          <w:szCs w:val="32"/>
        </w:rPr>
        <w:t>向上市公司发出拟终止其股票上市的事先告知书，</w:t>
      </w:r>
      <w:r>
        <w:rPr>
          <w:rFonts w:ascii="仿宋_GB2312" w:eastAsia="仿宋_GB2312" w:hAnsi="Arial Unicode MS" w:cs="Arial Unicode MS" w:hint="eastAsia"/>
          <w:color w:val="000000"/>
          <w:sz w:val="32"/>
          <w:szCs w:val="32"/>
        </w:rPr>
        <w:t>公司应当在收到本所有关书面通知的次一交易日披露公告。公司未按规定公告的，本所可以交易所公告的形式予以公告。公司股票自公告披露之日起停牌。</w:t>
      </w:r>
    </w:p>
    <w:p w14:paraId="4DD68BBE" w14:textId="77777777" w:rsidR="000C29B8" w:rsidRDefault="00000000">
      <w:pPr>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上市公司虽满足第</w:t>
      </w:r>
      <w:r>
        <w:rPr>
          <w:rFonts w:ascii="仿宋_GB2312" w:eastAsia="仿宋_GB2312" w:hAnsi="Arial Unicode MS" w:cs="Arial Unicode MS"/>
          <w:color w:val="000000"/>
          <w:sz w:val="32"/>
          <w:szCs w:val="32"/>
        </w:rPr>
        <w:t>12.</w:t>
      </w:r>
      <w:r>
        <w:rPr>
          <w:rFonts w:ascii="仿宋_GB2312" w:eastAsia="仿宋_GB2312" w:hAnsi="Arial Unicode MS" w:cs="Arial Unicode MS" w:hint="eastAsia"/>
          <w:color w:val="000000"/>
          <w:sz w:val="32"/>
          <w:szCs w:val="32"/>
        </w:rPr>
        <w:t>4</w:t>
      </w:r>
      <w:r>
        <w:rPr>
          <w:rFonts w:ascii="仿宋_GB2312" w:eastAsia="仿宋_GB2312" w:hAnsi="Arial Unicode MS" w:cs="Arial Unicode MS"/>
          <w:color w:val="000000"/>
          <w:sz w:val="32"/>
          <w:szCs w:val="32"/>
        </w:rPr>
        <w:t>.</w:t>
      </w:r>
      <w:r>
        <w:rPr>
          <w:rFonts w:ascii="仿宋_GB2312" w:eastAsia="仿宋_GB2312" w:hAnsi="Arial Unicode MS" w:cs="Arial Unicode MS" w:hint="eastAsia"/>
          <w:color w:val="000000"/>
          <w:sz w:val="32"/>
          <w:szCs w:val="32"/>
        </w:rPr>
        <w:t>10</w:t>
      </w:r>
      <w:r>
        <w:rPr>
          <w:rFonts w:ascii="仿宋_GB2312" w:eastAsia="仿宋_GB2312" w:hAnsi="Arial Unicode MS" w:cs="Arial Unicode MS"/>
          <w:color w:val="000000"/>
          <w:sz w:val="32"/>
          <w:szCs w:val="32"/>
        </w:rPr>
        <w:t>条规定</w:t>
      </w:r>
      <w:r>
        <w:rPr>
          <w:rFonts w:ascii="仿宋_GB2312" w:eastAsia="仿宋_GB2312" w:hAnsi="Arial Unicode MS" w:cs="Arial Unicode MS" w:hint="eastAsia"/>
          <w:color w:val="000000"/>
          <w:sz w:val="32"/>
          <w:szCs w:val="32"/>
        </w:rPr>
        <w:t>的</w:t>
      </w:r>
      <w:r>
        <w:rPr>
          <w:rFonts w:ascii="仿宋_GB2312" w:eastAsia="仿宋_GB2312" w:hAnsi="Arial Unicode MS" w:cs="Arial Unicode MS"/>
          <w:color w:val="000000"/>
          <w:sz w:val="32"/>
          <w:szCs w:val="32"/>
        </w:rPr>
        <w:t>退</w:t>
      </w:r>
      <w:proofErr w:type="gramStart"/>
      <w:r>
        <w:rPr>
          <w:rFonts w:ascii="仿宋_GB2312" w:eastAsia="仿宋_GB2312" w:hAnsi="Arial Unicode MS" w:cs="Arial Unicode MS"/>
          <w:color w:val="000000"/>
          <w:sz w:val="32"/>
          <w:szCs w:val="32"/>
        </w:rPr>
        <w:t>市风险</w:t>
      </w:r>
      <w:proofErr w:type="gramEnd"/>
      <w:r>
        <w:rPr>
          <w:rFonts w:ascii="仿宋_GB2312" w:eastAsia="仿宋_GB2312" w:hAnsi="Arial Unicode MS" w:cs="Arial Unicode MS"/>
          <w:color w:val="000000"/>
          <w:sz w:val="32"/>
          <w:szCs w:val="32"/>
        </w:rPr>
        <w:t>警示的撤销条件，但具有其他退</w:t>
      </w:r>
      <w:proofErr w:type="gramStart"/>
      <w:r>
        <w:rPr>
          <w:rFonts w:ascii="仿宋_GB2312" w:eastAsia="仿宋_GB2312" w:hAnsi="Arial Unicode MS" w:cs="Arial Unicode MS"/>
          <w:color w:val="000000"/>
          <w:sz w:val="32"/>
          <w:szCs w:val="32"/>
        </w:rPr>
        <w:t>市风险</w:t>
      </w:r>
      <w:proofErr w:type="gramEnd"/>
      <w:r>
        <w:rPr>
          <w:rFonts w:ascii="仿宋_GB2312" w:eastAsia="仿宋_GB2312" w:hAnsi="Arial Unicode MS" w:cs="Arial Unicode MS"/>
          <w:color w:val="000000"/>
          <w:sz w:val="32"/>
          <w:szCs w:val="32"/>
        </w:rPr>
        <w:t>警示情形的，按其他退</w:t>
      </w:r>
      <w:proofErr w:type="gramStart"/>
      <w:r>
        <w:rPr>
          <w:rFonts w:ascii="仿宋_GB2312" w:eastAsia="仿宋_GB2312" w:hAnsi="Arial Unicode MS" w:cs="Arial Unicode MS"/>
          <w:color w:val="000000"/>
          <w:sz w:val="32"/>
          <w:szCs w:val="32"/>
        </w:rPr>
        <w:t>市风险</w:t>
      </w:r>
      <w:proofErr w:type="gramEnd"/>
      <w:r>
        <w:rPr>
          <w:rFonts w:ascii="仿宋_GB2312" w:eastAsia="仿宋_GB2312" w:hAnsi="Arial Unicode MS" w:cs="Arial Unicode MS"/>
          <w:color w:val="000000"/>
          <w:sz w:val="32"/>
          <w:szCs w:val="32"/>
        </w:rPr>
        <w:t>警示的程序执行，不予撤销退</w:t>
      </w:r>
      <w:proofErr w:type="gramStart"/>
      <w:r>
        <w:rPr>
          <w:rFonts w:ascii="仿宋_GB2312" w:eastAsia="仿宋_GB2312" w:hAnsi="Arial Unicode MS" w:cs="Arial Unicode MS"/>
          <w:color w:val="000000"/>
          <w:sz w:val="32"/>
          <w:szCs w:val="32"/>
        </w:rPr>
        <w:t>市风险</w:t>
      </w:r>
      <w:proofErr w:type="gramEnd"/>
      <w:r>
        <w:rPr>
          <w:rFonts w:ascii="仿宋_GB2312" w:eastAsia="仿宋_GB2312" w:hAnsi="Arial Unicode MS" w:cs="Arial Unicode MS"/>
          <w:color w:val="000000"/>
          <w:sz w:val="32"/>
          <w:szCs w:val="32"/>
        </w:rPr>
        <w:t>警示。</w:t>
      </w:r>
    </w:p>
    <w:p w14:paraId="3ABBCEF1" w14:textId="77777777" w:rsidR="000C29B8" w:rsidRDefault="00000000">
      <w:pPr>
        <w:numPr>
          <w:ilvl w:val="2"/>
          <w:numId w:val="49"/>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上市公司存在第12.4.10条第一款第一</w:t>
      </w:r>
      <w:r>
        <w:rPr>
          <w:rFonts w:ascii="仿宋_GB2312" w:eastAsia="仿宋_GB2312" w:hAnsi="黑体"/>
          <w:sz w:val="32"/>
          <w:szCs w:val="32"/>
        </w:rPr>
        <w:t>项</w:t>
      </w:r>
      <w:r>
        <w:rPr>
          <w:rFonts w:ascii="仿宋_GB2312" w:eastAsia="仿宋_GB2312" w:hAnsi="黑体" w:hint="eastAsia"/>
          <w:sz w:val="32"/>
          <w:szCs w:val="32"/>
        </w:rPr>
        <w:t>至第三项情形</w:t>
      </w:r>
      <w:r>
        <w:rPr>
          <w:rFonts w:ascii="仿宋_GB2312" w:eastAsia="仿宋_GB2312" w:hAnsi="黑体"/>
          <w:sz w:val="32"/>
          <w:szCs w:val="32"/>
        </w:rPr>
        <w:t>，导致未</w:t>
      </w:r>
      <w:r>
        <w:rPr>
          <w:rFonts w:ascii="仿宋_GB2312" w:eastAsia="仿宋_GB2312" w:hAnsi="黑体" w:hint="eastAsia"/>
          <w:sz w:val="32"/>
          <w:szCs w:val="32"/>
        </w:rPr>
        <w:t>满足该条规定</w:t>
      </w:r>
      <w:r>
        <w:rPr>
          <w:rFonts w:ascii="仿宋_GB2312" w:eastAsia="仿宋_GB2312" w:hAnsi="黑体"/>
          <w:sz w:val="32"/>
          <w:szCs w:val="32"/>
        </w:rPr>
        <w:t>的</w:t>
      </w:r>
      <w:r>
        <w:rPr>
          <w:rFonts w:ascii="仿宋_GB2312" w:eastAsia="仿宋_GB2312" w:hAnsi="黑体" w:hint="eastAsia"/>
          <w:sz w:val="32"/>
          <w:szCs w:val="32"/>
        </w:rPr>
        <w:t>撤销退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警示条件的，应当自董事会审议通过年度报告</w:t>
      </w:r>
      <w:r>
        <w:rPr>
          <w:rFonts w:ascii="仿宋_GB2312" w:eastAsia="仿宋_GB2312" w:hAnsi="黑体" w:cs="Arial Unicode MS" w:hint="eastAsia"/>
          <w:color w:val="000000"/>
          <w:sz w:val="32"/>
          <w:szCs w:val="32"/>
        </w:rPr>
        <w:t>后，及时披露年度报告，同时披露公司股票可能被终止上市的风险提示公告。公司</w:t>
      </w:r>
      <w:r>
        <w:rPr>
          <w:rFonts w:ascii="仿宋_GB2312" w:eastAsia="仿宋_GB2312" w:hAnsi="黑体" w:cs="Arial Unicode MS"/>
          <w:color w:val="000000"/>
          <w:sz w:val="32"/>
          <w:szCs w:val="32"/>
        </w:rPr>
        <w:t>股</w:t>
      </w:r>
      <w:r>
        <w:rPr>
          <w:rFonts w:ascii="仿宋_GB2312" w:eastAsia="仿宋_GB2312" w:hAnsi="黑体" w:cs="Arial Unicode MS"/>
          <w:color w:val="000000"/>
          <w:sz w:val="32"/>
          <w:szCs w:val="32"/>
        </w:rPr>
        <w:lastRenderedPageBreak/>
        <w:t>票</w:t>
      </w:r>
      <w:r>
        <w:rPr>
          <w:rFonts w:ascii="仿宋_GB2312" w:eastAsia="仿宋_GB2312" w:hAnsi="黑体" w:cs="Arial Unicode MS" w:hint="eastAsia"/>
          <w:color w:val="000000"/>
          <w:sz w:val="32"/>
          <w:szCs w:val="32"/>
        </w:rPr>
        <w:t>自年度报告</w:t>
      </w:r>
      <w:r>
        <w:rPr>
          <w:rFonts w:ascii="仿宋_GB2312" w:eastAsia="仿宋_GB2312" w:hAnsi="黑体" w:hint="eastAsia"/>
          <w:sz w:val="32"/>
          <w:szCs w:val="32"/>
        </w:rPr>
        <w:t>披露之日起停牌。</w:t>
      </w:r>
      <w:r>
        <w:rPr>
          <w:rFonts w:ascii="仿宋_GB2312" w:eastAsia="仿宋_GB2312" w:hAnsi="Arial Unicode MS" w:cs="Arial Unicode MS" w:hint="eastAsia"/>
          <w:color w:val="000000"/>
          <w:sz w:val="32"/>
          <w:szCs w:val="32"/>
        </w:rPr>
        <w:t>披露日为</w:t>
      </w:r>
      <w:proofErr w:type="gramStart"/>
      <w:r>
        <w:rPr>
          <w:rFonts w:ascii="仿宋_GB2312" w:eastAsia="仿宋_GB2312" w:hAnsi="Arial Unicode MS" w:cs="Arial Unicode MS" w:hint="eastAsia"/>
          <w:color w:val="000000"/>
          <w:sz w:val="32"/>
          <w:szCs w:val="32"/>
        </w:rPr>
        <w:t>非交易</w:t>
      </w:r>
      <w:proofErr w:type="gramEnd"/>
      <w:r>
        <w:rPr>
          <w:rFonts w:ascii="仿宋_GB2312" w:eastAsia="仿宋_GB2312" w:hAnsi="Arial Unicode MS" w:cs="Arial Unicode MS" w:hint="eastAsia"/>
          <w:color w:val="000000"/>
          <w:sz w:val="32"/>
          <w:szCs w:val="32"/>
        </w:rPr>
        <w:t>日的，自披露后的第一个交易日起停牌。</w:t>
      </w:r>
    </w:p>
    <w:p w14:paraId="51FEC200"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上市公司存在第1</w:t>
      </w:r>
      <w:r>
        <w:rPr>
          <w:rFonts w:ascii="仿宋_GB2312" w:eastAsia="仿宋_GB2312" w:hAnsi="黑体"/>
          <w:sz w:val="32"/>
          <w:szCs w:val="32"/>
        </w:rPr>
        <w:t>2.4.</w:t>
      </w:r>
      <w:r>
        <w:rPr>
          <w:rFonts w:ascii="仿宋_GB2312" w:eastAsia="仿宋_GB2312" w:hAnsi="黑体" w:hint="eastAsia"/>
          <w:sz w:val="32"/>
          <w:szCs w:val="32"/>
        </w:rPr>
        <w:t>10条第一款</w:t>
      </w:r>
      <w:r>
        <w:rPr>
          <w:rFonts w:ascii="仿宋_GB2312" w:eastAsia="仿宋_GB2312" w:hAnsi="黑体"/>
          <w:sz w:val="32"/>
          <w:szCs w:val="32"/>
        </w:rPr>
        <w:t>第</w:t>
      </w:r>
      <w:r>
        <w:rPr>
          <w:rFonts w:ascii="仿宋_GB2312" w:eastAsia="仿宋_GB2312" w:hAnsi="黑体" w:hint="eastAsia"/>
          <w:sz w:val="32"/>
          <w:szCs w:val="32"/>
        </w:rPr>
        <w:t>四</w:t>
      </w:r>
      <w:r>
        <w:rPr>
          <w:rFonts w:ascii="仿宋_GB2312" w:eastAsia="仿宋_GB2312" w:hAnsi="黑体"/>
          <w:sz w:val="32"/>
          <w:szCs w:val="32"/>
        </w:rPr>
        <w:t>项情形</w:t>
      </w:r>
      <w:r>
        <w:rPr>
          <w:rFonts w:ascii="仿宋_GB2312" w:eastAsia="仿宋_GB2312" w:hAnsi="黑体" w:hint="eastAsia"/>
          <w:sz w:val="32"/>
          <w:szCs w:val="32"/>
        </w:rPr>
        <w:t>，导致未满足该条撤销退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警示条件的，公司应当在法定期限届满的次一交易日披露公司股票可能被终止上市的风险提示公告。公司</w:t>
      </w:r>
      <w:r>
        <w:rPr>
          <w:rFonts w:ascii="仿宋_GB2312" w:eastAsia="仿宋_GB2312" w:hAnsi="黑体"/>
          <w:sz w:val="32"/>
          <w:szCs w:val="32"/>
        </w:rPr>
        <w:t>股票</w:t>
      </w:r>
      <w:r>
        <w:rPr>
          <w:rFonts w:ascii="仿宋_GB2312" w:eastAsia="仿宋_GB2312" w:hAnsi="黑体" w:hint="eastAsia"/>
          <w:sz w:val="32"/>
          <w:szCs w:val="32"/>
        </w:rPr>
        <w:t>自公告披露之日起停牌。</w:t>
      </w:r>
    </w:p>
    <w:p w14:paraId="35655AA9"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w:t>
      </w:r>
      <w:r>
        <w:rPr>
          <w:rFonts w:ascii="仿宋_GB2312" w:eastAsia="仿宋_GB2312" w:hAnsi="Arial Unicode MS" w:cs="Arial Unicode MS" w:hint="eastAsia"/>
          <w:color w:val="000000"/>
          <w:sz w:val="32"/>
          <w:szCs w:val="32"/>
        </w:rPr>
        <w:t>股票因第</w:t>
      </w:r>
      <w:r>
        <w:rPr>
          <w:rFonts w:ascii="仿宋_GB2312" w:eastAsia="仿宋_GB2312" w:hAnsi="Arial Unicode MS" w:cs="Arial Unicode MS"/>
          <w:color w:val="000000"/>
          <w:sz w:val="32"/>
          <w:szCs w:val="32"/>
        </w:rPr>
        <w:t>12.4.2条</w:t>
      </w:r>
      <w:r>
        <w:rPr>
          <w:rFonts w:ascii="仿宋_GB2312" w:eastAsia="仿宋_GB2312" w:hAnsi="Arial Unicode MS" w:cs="Arial Unicode MS" w:hint="eastAsia"/>
          <w:color w:val="000000"/>
          <w:sz w:val="32"/>
          <w:szCs w:val="32"/>
        </w:rPr>
        <w:t>被实施退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警示后，最近一个会计年度出现</w:t>
      </w:r>
      <w:r>
        <w:rPr>
          <w:rFonts w:ascii="仿宋_GB2312" w:eastAsia="仿宋_GB2312" w:hAnsi="黑体" w:hint="eastAsia"/>
          <w:sz w:val="32"/>
          <w:szCs w:val="32"/>
        </w:rPr>
        <w:t>半数以上董事无法保证公司所披露年度报告的真实性、准确性和完整性情形的</w:t>
      </w:r>
      <w:r>
        <w:rPr>
          <w:rFonts w:ascii="仿宋_GB2312" w:eastAsia="仿宋_GB2312" w:hAnsi="Arial Unicode MS" w:cs="Arial Unicode MS" w:hint="eastAsia"/>
          <w:color w:val="000000"/>
          <w:sz w:val="32"/>
          <w:szCs w:val="32"/>
        </w:rPr>
        <w:t>，</w:t>
      </w:r>
      <w:r>
        <w:rPr>
          <w:rFonts w:ascii="仿宋_GB2312" w:eastAsia="仿宋_GB2312" w:hAnsi="黑体" w:hint="eastAsia"/>
          <w:sz w:val="32"/>
          <w:szCs w:val="32"/>
        </w:rPr>
        <w:t>应当及时披露相关情况并披露公司股票可能被终止上市的风险提示公告。法定期限届满仍未改正的，公司应当在法定期限届满的次一交易日披露公司股票可能被终止上市的风险提示公告。公司股票自公告披露之日起停牌。</w:t>
      </w:r>
    </w:p>
    <w:p w14:paraId="0C53C503"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研发</w:t>
      </w:r>
      <w:proofErr w:type="gramStart"/>
      <w:r>
        <w:rPr>
          <w:rFonts w:ascii="仿宋_GB2312" w:eastAsia="仿宋_GB2312" w:hAnsi="黑体" w:hint="eastAsia"/>
          <w:sz w:val="32"/>
          <w:szCs w:val="32"/>
        </w:rPr>
        <w:t>型上市</w:t>
      </w:r>
      <w:proofErr w:type="gramEnd"/>
      <w:r>
        <w:rPr>
          <w:rFonts w:ascii="仿宋_GB2312" w:eastAsia="仿宋_GB2312" w:hAnsi="黑体" w:hint="eastAsia"/>
          <w:sz w:val="32"/>
          <w:szCs w:val="32"/>
        </w:rPr>
        <w:t>公司在被实施退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警示后6个月内未满足第12.4.10条第四款规定的退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警示撤销条件的，应当在该期限届满日次一交易日披露公司股票可能被终止上市的风险提示公告。公司</w:t>
      </w:r>
      <w:r>
        <w:rPr>
          <w:rFonts w:ascii="仿宋_GB2312" w:eastAsia="仿宋_GB2312" w:hAnsi="黑体"/>
          <w:sz w:val="32"/>
          <w:szCs w:val="32"/>
        </w:rPr>
        <w:t>股票</w:t>
      </w:r>
      <w:r>
        <w:rPr>
          <w:rFonts w:ascii="仿宋_GB2312" w:eastAsia="仿宋_GB2312" w:hAnsi="黑体" w:hint="eastAsia"/>
          <w:sz w:val="32"/>
          <w:szCs w:val="32"/>
        </w:rPr>
        <w:t>自公告披露之日起停牌。</w:t>
      </w:r>
    </w:p>
    <w:p w14:paraId="04B9BFBD" w14:textId="77777777" w:rsidR="000C29B8" w:rsidRDefault="00000000">
      <w:pPr>
        <w:tabs>
          <w:tab w:val="left" w:pos="1560"/>
        </w:tabs>
        <w:snapToGrid w:val="0"/>
        <w:spacing w:line="560" w:lineRule="exact"/>
        <w:rPr>
          <w:rFonts w:ascii="仿宋_GB2312" w:eastAsia="仿宋_GB2312" w:hAnsi="黑体"/>
          <w:sz w:val="32"/>
          <w:szCs w:val="32"/>
        </w:rPr>
      </w:pPr>
      <w:r>
        <w:rPr>
          <w:rFonts w:ascii="仿宋_GB2312" w:eastAsia="仿宋_GB2312" w:hAnsi="黑体" w:hint="eastAsia"/>
          <w:sz w:val="32"/>
          <w:szCs w:val="32"/>
        </w:rPr>
        <w:t xml:space="preserve">    上市公司虽满足第</w:t>
      </w:r>
      <w:r>
        <w:rPr>
          <w:rFonts w:ascii="仿宋_GB2312" w:eastAsia="仿宋_GB2312" w:hAnsi="黑体"/>
          <w:sz w:val="32"/>
          <w:szCs w:val="32"/>
        </w:rPr>
        <w:t>12.4.</w:t>
      </w:r>
      <w:r>
        <w:rPr>
          <w:rFonts w:ascii="仿宋_GB2312" w:eastAsia="仿宋_GB2312" w:hAnsi="黑体" w:hint="eastAsia"/>
          <w:sz w:val="32"/>
          <w:szCs w:val="32"/>
        </w:rPr>
        <w:t>10条规定的退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警示撤销条件，但未在该条规定的相应期限内向本所申请撤销退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警示的，公司应当在相应期限届满的次一交易日披露公司股票可能被终止上市的风险提示公告。公司股票自公告披露之日起停牌。</w:t>
      </w:r>
    </w:p>
    <w:p w14:paraId="64FD5940" w14:textId="77777777" w:rsidR="000C29B8" w:rsidRDefault="00000000">
      <w:pPr>
        <w:numPr>
          <w:ilvl w:val="2"/>
          <w:numId w:val="49"/>
        </w:numPr>
        <w:tabs>
          <w:tab w:val="left" w:pos="1560"/>
        </w:tabs>
        <w:snapToGrid w:val="0"/>
        <w:spacing w:line="560" w:lineRule="exact"/>
        <w:ind w:left="0"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本所根据第</w:t>
      </w:r>
      <w:r>
        <w:rPr>
          <w:rFonts w:ascii="仿宋_GB2312" w:eastAsia="仿宋_GB2312" w:hAnsi="宋体" w:cs="宋体"/>
          <w:kern w:val="0"/>
          <w:sz w:val="32"/>
          <w:szCs w:val="32"/>
        </w:rPr>
        <w:t>12.4.1</w:t>
      </w:r>
      <w:r>
        <w:rPr>
          <w:rFonts w:ascii="仿宋_GB2312" w:eastAsia="仿宋_GB2312" w:hAnsi="宋体" w:cs="宋体" w:hint="eastAsia"/>
          <w:kern w:val="0"/>
          <w:sz w:val="32"/>
          <w:szCs w:val="32"/>
        </w:rPr>
        <w:t>4</w:t>
      </w:r>
      <w:r>
        <w:rPr>
          <w:rFonts w:ascii="仿宋_GB2312" w:eastAsia="仿宋_GB2312" w:hAnsi="宋体" w:cs="宋体"/>
          <w:kern w:val="0"/>
          <w:sz w:val="32"/>
          <w:szCs w:val="32"/>
        </w:rPr>
        <w:t>条对公司股票实施停牌的，自停牌之日起5个交易日内，向公司发出拟终止其股票</w:t>
      </w:r>
      <w:r>
        <w:rPr>
          <w:rFonts w:ascii="仿宋_GB2312" w:eastAsia="仿宋_GB2312" w:hAnsi="宋体" w:cs="宋体"/>
          <w:kern w:val="0"/>
          <w:sz w:val="32"/>
          <w:szCs w:val="32"/>
        </w:rPr>
        <w:lastRenderedPageBreak/>
        <w:t>上市的事先告知书，上市公司应当及时披露。</w:t>
      </w:r>
    </w:p>
    <w:p w14:paraId="6655D0CD" w14:textId="77777777" w:rsidR="000C29B8" w:rsidRDefault="00000000">
      <w:pPr>
        <w:numPr>
          <w:ilvl w:val="2"/>
          <w:numId w:val="49"/>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宋体" w:cs="宋体" w:hint="eastAsia"/>
          <w:kern w:val="0"/>
          <w:sz w:val="32"/>
          <w:szCs w:val="32"/>
        </w:rPr>
        <w:t>上市公司收到终止上市事先告知书后，可以根据本章第六节的规定提出听证、陈述和申辩。</w:t>
      </w:r>
    </w:p>
    <w:p w14:paraId="05383F8A"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宋体" w:cs="宋体" w:hint="eastAsia"/>
          <w:kern w:val="0"/>
          <w:sz w:val="32"/>
          <w:szCs w:val="32"/>
        </w:rPr>
        <w:t>本所上市委员会在前款规定的有关期限届满或者听证程序结束后15个交易日内，就是否终止公司股票上市事宜进行审议，</w:t>
      </w:r>
      <w:proofErr w:type="gramStart"/>
      <w:r>
        <w:rPr>
          <w:rFonts w:ascii="仿宋_GB2312" w:eastAsia="仿宋_GB2312" w:hAnsi="仿宋_GB2312" w:hint="eastAsia"/>
          <w:sz w:val="32"/>
          <w:szCs w:val="32"/>
        </w:rPr>
        <w:t>作出</w:t>
      </w:r>
      <w:proofErr w:type="gramEnd"/>
      <w:r>
        <w:rPr>
          <w:rFonts w:ascii="仿宋_GB2312" w:eastAsia="仿宋_GB2312" w:hAnsi="仿宋_GB2312" w:hint="eastAsia"/>
          <w:sz w:val="32"/>
          <w:szCs w:val="32"/>
        </w:rPr>
        <w:t>独立的专业判断并形成审议意见。</w:t>
      </w:r>
    </w:p>
    <w:p w14:paraId="59EA364C" w14:textId="77777777" w:rsidR="000C29B8" w:rsidRDefault="00000000">
      <w:pPr>
        <w:widowControl/>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本所根据上市委员会的审议意见，</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是否终止股票上市的决定。</w:t>
      </w:r>
    </w:p>
    <w:p w14:paraId="0931DF0C" w14:textId="77777777" w:rsidR="000C29B8" w:rsidRDefault="00000000">
      <w:pPr>
        <w:numPr>
          <w:ilvl w:val="2"/>
          <w:numId w:val="49"/>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Arial Unicode MS" w:cs="Arial Unicode MS" w:hint="eastAsia"/>
          <w:color w:val="000000"/>
          <w:sz w:val="32"/>
          <w:szCs w:val="32"/>
        </w:rPr>
        <w:t>本所决定不对上市公司股票实施终止上市的，公司应当在收到本所相关决定后，及时披露并申请股票复牌。公司股票不存在其他退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警示情形的，自复牌之日起，本所撤销对公司股票实施的退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w:t>
      </w:r>
    </w:p>
    <w:p w14:paraId="5946963E" w14:textId="77777777" w:rsidR="000C29B8" w:rsidRDefault="00000000">
      <w:pPr>
        <w:numPr>
          <w:ilvl w:val="2"/>
          <w:numId w:val="49"/>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本所在</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终止股票上市的决定之日起2个交易日内，通知上市公司并披露相关公告，同时报中国证监会备案。</w:t>
      </w:r>
    </w:p>
    <w:p w14:paraId="03FE9BEC"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上市公司应当在收到本所关于终止其股票上市决定后，及时披露股票终止上市公告。</w:t>
      </w:r>
    </w:p>
    <w:p w14:paraId="59B06694"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上市公司可以按照本章第六节的规定申请复核。</w:t>
      </w:r>
    </w:p>
    <w:p w14:paraId="5F5C1E4B" w14:textId="77777777" w:rsidR="000C29B8" w:rsidRDefault="00000000">
      <w:pPr>
        <w:numPr>
          <w:ilvl w:val="2"/>
          <w:numId w:val="49"/>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上市公司股票因触及本</w:t>
      </w:r>
      <w:proofErr w:type="gramStart"/>
      <w:r>
        <w:rPr>
          <w:rFonts w:ascii="仿宋_GB2312" w:eastAsia="仿宋_GB2312" w:hAnsi="黑体" w:hint="eastAsia"/>
          <w:sz w:val="32"/>
          <w:szCs w:val="32"/>
        </w:rPr>
        <w:t>规则第12</w:t>
      </w:r>
      <w:proofErr w:type="gramEnd"/>
      <w:r>
        <w:rPr>
          <w:rFonts w:ascii="仿宋_GB2312" w:eastAsia="仿宋_GB2312" w:hAnsi="黑体" w:hint="eastAsia"/>
          <w:sz w:val="32"/>
          <w:szCs w:val="32"/>
        </w:rPr>
        <w:t>.4.2 条第一款第四项情形被终止上市，相关行政处罚决定被依法撤销或确认无效，或者因对违法行为性质、违法事实等的认定发生重大变化被依法变更的，参照本</w:t>
      </w:r>
      <w:proofErr w:type="gramStart"/>
      <w:r>
        <w:rPr>
          <w:rFonts w:ascii="仿宋_GB2312" w:eastAsia="仿宋_GB2312" w:hAnsi="黑体" w:hint="eastAsia"/>
          <w:sz w:val="32"/>
          <w:szCs w:val="32"/>
        </w:rPr>
        <w:t>规则第12</w:t>
      </w:r>
      <w:proofErr w:type="gramEnd"/>
      <w:r>
        <w:rPr>
          <w:rFonts w:ascii="仿宋_GB2312" w:eastAsia="仿宋_GB2312" w:hAnsi="黑体" w:hint="eastAsia"/>
          <w:sz w:val="32"/>
          <w:szCs w:val="32"/>
        </w:rPr>
        <w:t>.2.11 条至第12.2.14 条规定的程序办理。</w:t>
      </w:r>
    </w:p>
    <w:p w14:paraId="6C031DFA" w14:textId="77777777" w:rsidR="000C29B8" w:rsidRDefault="00000000">
      <w:pPr>
        <w:pStyle w:val="23"/>
      </w:pPr>
      <w:bookmarkStart w:id="667" w:name="_Toc23495"/>
      <w:r>
        <w:rPr>
          <w:rFonts w:hint="eastAsia"/>
        </w:rPr>
        <w:lastRenderedPageBreak/>
        <w:t>第五节  规范类强制退市</w:t>
      </w:r>
      <w:bookmarkEnd w:id="667"/>
    </w:p>
    <w:p w14:paraId="4EA1EDE4" w14:textId="77777777" w:rsidR="000C29B8" w:rsidRDefault="00000000">
      <w:pPr>
        <w:numPr>
          <w:ilvl w:val="2"/>
          <w:numId w:val="50"/>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 xml:space="preserve"> 上市公司出现下列情形之一的，本所对其股票实施退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w:t>
      </w:r>
    </w:p>
    <w:p w14:paraId="35301739"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 xml:space="preserve">（一）因财务会计报告存在重大会计差错或者虚假记载，被中国证监会责令改正但公司未在规定期限内改正，此后公司在股票停牌2个月内仍未改正； </w:t>
      </w:r>
    </w:p>
    <w:p w14:paraId="10F7C5EB"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（二）未在法定期限内披露年度报告或者半年度报告，此后公司在股票停牌2个月内仍未披露；</w:t>
      </w:r>
    </w:p>
    <w:p w14:paraId="0C70848B"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（三）因半数以上董事无法保证公司所披露半年度报告和年度报告的真实性、准确性和完整性，且未在法定期限内改正，此后股票停牌2个月内仍未改正；</w:t>
      </w:r>
    </w:p>
    <w:p w14:paraId="53997680"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（四）</w:t>
      </w:r>
      <w:r>
        <w:rPr>
          <w:rFonts w:ascii="仿宋_GB2312" w:eastAsia="仿宋_GB2312" w:hint="eastAsia"/>
          <w:sz w:val="32"/>
          <w:szCs w:val="32"/>
        </w:rPr>
        <w:t>因信息披露或者规范运作等方面存在重大缺陷，被本所限期改正但公司未在规定期限内改正，</w:t>
      </w:r>
      <w:r>
        <w:rPr>
          <w:rFonts w:ascii="仿宋_GB2312" w:eastAsia="仿宋_GB2312" w:hAnsi="黑体" w:hint="eastAsia"/>
          <w:sz w:val="32"/>
          <w:szCs w:val="32"/>
        </w:rPr>
        <w:t>此后公司在股票停牌2个月内仍未改正；</w:t>
      </w:r>
    </w:p>
    <w:p w14:paraId="4163FA92"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五）公司被控股股东（无控股股东，则为第一大股东）及其关联方非经营性占用资金，余额达到最近一期经审计净资产绝对值30%以上，或者金额达到2亿元以上，被中国证监会责令改正但公司未在规定期限内改正，此后公司在股票停牌2个月内仍未改正；</w:t>
      </w:r>
    </w:p>
    <w:p w14:paraId="3390865C"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（六）连续2个会计年度的财务报告内部控制被出具无法表示意见或者否定意见的审计报告，或者未按照规定披露财务报告内部控制审计报告；</w:t>
      </w:r>
    </w:p>
    <w:p w14:paraId="4A7F50A9"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（七）因公司股本总额或股权分布发生变化，导致连续20个交易</w:t>
      </w:r>
      <w:proofErr w:type="gramStart"/>
      <w:r>
        <w:rPr>
          <w:rFonts w:ascii="仿宋_GB2312" w:eastAsia="仿宋_GB2312" w:hAnsi="黑体" w:hint="eastAsia"/>
          <w:sz w:val="32"/>
          <w:szCs w:val="32"/>
        </w:rPr>
        <w:t>日不再</w:t>
      </w:r>
      <w:proofErr w:type="gramEnd"/>
      <w:r>
        <w:rPr>
          <w:rFonts w:ascii="仿宋_GB2312" w:eastAsia="仿宋_GB2312" w:hAnsi="黑体" w:hint="eastAsia"/>
          <w:sz w:val="32"/>
          <w:szCs w:val="32"/>
        </w:rPr>
        <w:t>具备上市条件，此后公司在股票停牌1个月</w:t>
      </w:r>
      <w:r>
        <w:rPr>
          <w:rFonts w:ascii="仿宋_GB2312" w:eastAsia="仿宋_GB2312" w:hAnsi="黑体" w:hint="eastAsia"/>
          <w:sz w:val="32"/>
          <w:szCs w:val="32"/>
        </w:rPr>
        <w:lastRenderedPageBreak/>
        <w:t>内仍未解决；</w:t>
      </w:r>
    </w:p>
    <w:p w14:paraId="11464A0D"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（八）公司可能被依法强制解散；</w:t>
      </w:r>
    </w:p>
    <w:p w14:paraId="5093825A"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（九）法院依法受理公司重整、和解和破产清算申请；</w:t>
      </w:r>
    </w:p>
    <w:p w14:paraId="45FCA849"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（十）本所认定的其他情形。</w:t>
      </w:r>
    </w:p>
    <w:p w14:paraId="08D0E073"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本条第一款第四项规定的</w:t>
      </w:r>
      <w:r>
        <w:rPr>
          <w:rFonts w:ascii="仿宋_GB2312" w:eastAsia="仿宋_GB2312" w:hint="eastAsia"/>
          <w:sz w:val="32"/>
          <w:szCs w:val="32"/>
        </w:rPr>
        <w:t>信息披露或者规范运作等方面存在重大缺陷</w:t>
      </w:r>
      <w:r>
        <w:rPr>
          <w:rFonts w:ascii="仿宋_GB2312" w:eastAsia="仿宋_GB2312" w:hAnsi="黑体" w:hint="eastAsia"/>
          <w:sz w:val="32"/>
          <w:szCs w:val="32"/>
        </w:rPr>
        <w:t>情形，具体包括以下情形：</w:t>
      </w:r>
    </w:p>
    <w:p w14:paraId="503F4CC8"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（一）本所失去公司有效信息来源；</w:t>
      </w:r>
    </w:p>
    <w:p w14:paraId="2771668E"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（二）公司拒不披露应当披露的重大信息；</w:t>
      </w:r>
    </w:p>
    <w:p w14:paraId="44781D84"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（三）公司严重扰乱信息披露秩序，并造成恶劣影响；</w:t>
      </w:r>
    </w:p>
    <w:p w14:paraId="4F11392E"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（四）公司控制权无序争夺，导致投资者无法获取公司有效信息；</w:t>
      </w:r>
    </w:p>
    <w:p w14:paraId="62CB6696"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（五）本所认为公司存在其他信息披露或者规范运作缺陷且情节严重的。</w:t>
      </w:r>
    </w:p>
    <w:p w14:paraId="302B7045"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前款</w:t>
      </w:r>
      <w:r>
        <w:rPr>
          <w:rFonts w:ascii="仿宋_GB2312" w:eastAsia="仿宋_GB2312" w:hAnsi="黑体"/>
          <w:sz w:val="32"/>
          <w:szCs w:val="32"/>
        </w:rPr>
        <w:t>所述情形</w:t>
      </w:r>
      <w:r>
        <w:rPr>
          <w:rFonts w:ascii="仿宋_GB2312" w:eastAsia="仿宋_GB2312" w:hAnsi="黑体" w:hint="eastAsia"/>
          <w:sz w:val="32"/>
          <w:szCs w:val="32"/>
        </w:rPr>
        <w:t>由本所提请上市委员会审议，并根据上市委员会的审议意见</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认定。</w:t>
      </w:r>
    </w:p>
    <w:p w14:paraId="0D7ED080" w14:textId="77777777" w:rsidR="000C29B8" w:rsidRDefault="00000000">
      <w:pPr>
        <w:numPr>
          <w:ilvl w:val="2"/>
          <w:numId w:val="50"/>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 xml:space="preserve"> 上市公司出现下列情形之一的，应当立即披露股票可能被实施退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警示的风险提示公告：</w:t>
      </w:r>
    </w:p>
    <w:p w14:paraId="55117246"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（一）因财务会计报告存在重大会计差错或者虚假记载，被中国证监会责令改正；</w:t>
      </w:r>
    </w:p>
    <w:p w14:paraId="1959D4FA"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（二）未在法定期限内披露年度报告或者半年度报告；</w:t>
      </w:r>
    </w:p>
    <w:p w14:paraId="264C43BA"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（三）半数以上董事无法保证年度报告或者半年度报告真实、准确、完整；</w:t>
      </w:r>
    </w:p>
    <w:p w14:paraId="56CF064B"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（四）因信息披露或者规范运作等方面存在重大缺陷，被本所要求改正；</w:t>
      </w:r>
    </w:p>
    <w:p w14:paraId="5F314F46"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（五）公司被控股股东（无控股股东，则为第一大股东）及其关联方非经营性占用资金，余额达到最近一期经审计净资产绝对值30%以上，或者金额达到2亿元以上，被中国证监会责令改正；</w:t>
      </w:r>
    </w:p>
    <w:p w14:paraId="01BB1D14"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（六）首个会计年度的财务报告内部控制被出具无法表示意见或者否定意见的审计报告，或者未按照规定披露财务报告内部控制审计报告；</w:t>
      </w:r>
    </w:p>
    <w:p w14:paraId="02574A48"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（七）连续10个交易日股本总额或者股权分布不再具备上市条件；</w:t>
      </w:r>
    </w:p>
    <w:p w14:paraId="69C9609B"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公司按照前款第一项至第五项、第七项规定披露风险提示公告后，应当至少每10个交易日披露一次相关进展情况和风险提示公告，直至相应情形消除或者公司股票被本所实施退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w:t>
      </w:r>
    </w:p>
    <w:p w14:paraId="6D8C10D7"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公司触及本条第一款第五项规定，在中国证监会责令改正期限内改正的，应当及时披露会计师事务所出具的专项核查意见等文件。</w:t>
      </w:r>
    </w:p>
    <w:p w14:paraId="316EE7F1"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公司按照本条第一款第六项规定披露风险提示公告后，应当至少每个月披露一次相关进展情况和风险提示公告，直至相应情形消除或者公司股票被本所实施退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w:t>
      </w:r>
    </w:p>
    <w:p w14:paraId="06C4C852" w14:textId="77777777" w:rsidR="000C29B8" w:rsidRDefault="00000000">
      <w:pPr>
        <w:numPr>
          <w:ilvl w:val="2"/>
          <w:numId w:val="50"/>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 xml:space="preserve"> 上市公司出现第</w:t>
      </w:r>
      <w:r>
        <w:rPr>
          <w:rFonts w:ascii="仿宋_GB2312" w:eastAsia="仿宋_GB2312" w:hAnsi="黑体"/>
          <w:sz w:val="32"/>
          <w:szCs w:val="32"/>
        </w:rPr>
        <w:t>12.</w:t>
      </w:r>
      <w:r>
        <w:rPr>
          <w:rFonts w:ascii="仿宋_GB2312" w:eastAsia="仿宋_GB2312" w:hAnsi="黑体" w:hint="eastAsia"/>
          <w:sz w:val="32"/>
          <w:szCs w:val="32"/>
        </w:rPr>
        <w:t>5</w:t>
      </w:r>
      <w:r>
        <w:rPr>
          <w:rFonts w:ascii="仿宋_GB2312" w:eastAsia="仿宋_GB2312" w:hAnsi="黑体"/>
          <w:sz w:val="32"/>
          <w:szCs w:val="32"/>
        </w:rPr>
        <w:t>.1条</w:t>
      </w:r>
      <w:r>
        <w:rPr>
          <w:rFonts w:ascii="仿宋_GB2312" w:eastAsia="仿宋_GB2312" w:hAnsi="黑体" w:hint="eastAsia"/>
          <w:sz w:val="32"/>
          <w:szCs w:val="32"/>
        </w:rPr>
        <w:t>第一款</w:t>
      </w:r>
      <w:r>
        <w:rPr>
          <w:rFonts w:ascii="仿宋_GB2312" w:eastAsia="仿宋_GB2312" w:hAnsi="黑体"/>
          <w:sz w:val="32"/>
          <w:szCs w:val="32"/>
        </w:rPr>
        <w:t>第一项</w:t>
      </w:r>
      <w:r>
        <w:rPr>
          <w:rFonts w:ascii="仿宋_GB2312" w:eastAsia="仿宋_GB2312" w:hAnsi="黑体" w:hint="eastAsia"/>
          <w:sz w:val="32"/>
          <w:szCs w:val="32"/>
        </w:rPr>
        <w:t>至第五项规定的未在规定期限改正或者法定期限内披露相关定期报告情形的，公司股票自改正期限或者法定期限届满之日起停牌，并披露公司股票可能被实施退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警示的风险提示公告。</w:t>
      </w:r>
      <w:r>
        <w:rPr>
          <w:rFonts w:ascii="仿宋_GB2312" w:eastAsia="仿宋_GB2312" w:hAnsi="Arial Unicode MS" w:cs="Arial Unicode MS" w:hint="eastAsia"/>
          <w:color w:val="000000"/>
          <w:sz w:val="32"/>
          <w:szCs w:val="32"/>
        </w:rPr>
        <w:t>披露日为</w:t>
      </w:r>
      <w:proofErr w:type="gramStart"/>
      <w:r>
        <w:rPr>
          <w:rFonts w:ascii="仿宋_GB2312" w:eastAsia="仿宋_GB2312" w:hAnsi="Arial Unicode MS" w:cs="Arial Unicode MS" w:hint="eastAsia"/>
          <w:color w:val="000000"/>
          <w:sz w:val="32"/>
          <w:szCs w:val="32"/>
        </w:rPr>
        <w:t>非交易</w:t>
      </w:r>
      <w:proofErr w:type="gramEnd"/>
      <w:r>
        <w:rPr>
          <w:rFonts w:ascii="仿宋_GB2312" w:eastAsia="仿宋_GB2312" w:hAnsi="Arial Unicode MS" w:cs="Arial Unicode MS" w:hint="eastAsia"/>
          <w:color w:val="000000"/>
          <w:sz w:val="32"/>
          <w:szCs w:val="32"/>
        </w:rPr>
        <w:t>日的，于次一交易日起停牌。</w:t>
      </w:r>
    </w:p>
    <w:p w14:paraId="46459501"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上市公司在股票停牌后2个月内完成改正或者披露相关定期报告的，应当及时公告，公司股票自公告披露当日起复牌。</w:t>
      </w:r>
      <w:r>
        <w:rPr>
          <w:rFonts w:ascii="仿宋_GB2312" w:eastAsia="仿宋_GB2312" w:hAnsi="Arial Unicode MS" w:cs="Arial Unicode MS" w:hint="eastAsia"/>
          <w:color w:val="000000"/>
          <w:sz w:val="32"/>
          <w:szCs w:val="32"/>
        </w:rPr>
        <w:t>披露日为</w:t>
      </w:r>
      <w:proofErr w:type="gramStart"/>
      <w:r>
        <w:rPr>
          <w:rFonts w:ascii="仿宋_GB2312" w:eastAsia="仿宋_GB2312" w:hAnsi="Arial Unicode MS" w:cs="Arial Unicode MS" w:hint="eastAsia"/>
          <w:color w:val="000000"/>
          <w:sz w:val="32"/>
          <w:szCs w:val="32"/>
        </w:rPr>
        <w:t>非交易</w:t>
      </w:r>
      <w:proofErr w:type="gramEnd"/>
      <w:r>
        <w:rPr>
          <w:rFonts w:ascii="仿宋_GB2312" w:eastAsia="仿宋_GB2312" w:hAnsi="Arial Unicode MS" w:cs="Arial Unicode MS" w:hint="eastAsia"/>
          <w:color w:val="000000"/>
          <w:sz w:val="32"/>
          <w:szCs w:val="32"/>
        </w:rPr>
        <w:t>日的，于次一交易日起复牌。</w:t>
      </w:r>
    </w:p>
    <w:p w14:paraId="76722F70"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上市公司在股票停牌后2个月内仍未完成改正或者披露的，公司应当在停牌2个月届满的次一交易日披露股票被实施退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警示的公告。公司股票自公告披露日后的次一交易日起复牌。自复牌之日起，本所对公司股票实施退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w:t>
      </w:r>
    </w:p>
    <w:p w14:paraId="1592C0FE"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对于可能触及12.5.1条第一款第五项规定情形的，停牌期间前述情形消除的，申请复牌时应当同时披露会计师事务所出具的专项核查意见等文件。</w:t>
      </w:r>
    </w:p>
    <w:p w14:paraId="3A0299EE" w14:textId="77777777" w:rsidR="000C29B8" w:rsidRDefault="00000000">
      <w:pPr>
        <w:numPr>
          <w:ilvl w:val="2"/>
          <w:numId w:val="50"/>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 xml:space="preserve"> 上市公司出现第12.5.1条第一款第七项规定的股本总额或者股权分布连续20个交易日不具备上市条件的，公司股票自前述情形出现的次一交易日起停牌，并披露公司股票可能被实施退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警示的风险提示公告。</w:t>
      </w:r>
    </w:p>
    <w:p w14:paraId="10D80825"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上市公司在股票停牌后1个月内披露股本总额或者股权分布问题解决方案的，应当</w:t>
      </w:r>
      <w:r>
        <w:rPr>
          <w:rFonts w:ascii="仿宋_GB2312" w:eastAsia="仿宋_GB2312" w:hAnsi="黑体"/>
          <w:sz w:val="32"/>
          <w:szCs w:val="32"/>
        </w:rPr>
        <w:t>同时</w:t>
      </w:r>
      <w:r>
        <w:rPr>
          <w:rFonts w:ascii="仿宋_GB2312" w:eastAsia="仿宋_GB2312" w:hAnsi="黑体" w:hint="eastAsia"/>
          <w:sz w:val="32"/>
          <w:szCs w:val="32"/>
        </w:rPr>
        <w:t>披露股票被实施退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警示的公告，公司股票自公告披露日后的次一交易日起复牌；公司未在股票停牌后1个月内披露解决方案的，应</w:t>
      </w:r>
      <w:r>
        <w:rPr>
          <w:rFonts w:ascii="仿宋_GB2312" w:eastAsia="仿宋_GB2312" w:hAnsi="黑体"/>
          <w:sz w:val="32"/>
          <w:szCs w:val="32"/>
        </w:rPr>
        <w:t>当在</w:t>
      </w:r>
      <w:r>
        <w:rPr>
          <w:rFonts w:ascii="仿宋_GB2312" w:eastAsia="仿宋_GB2312" w:hAnsi="黑体" w:hint="eastAsia"/>
          <w:sz w:val="32"/>
          <w:szCs w:val="32"/>
        </w:rPr>
        <w:t>停牌</w:t>
      </w:r>
      <w:r>
        <w:rPr>
          <w:rFonts w:ascii="仿宋_GB2312" w:eastAsia="仿宋_GB2312" w:hAnsi="黑体"/>
          <w:sz w:val="32"/>
          <w:szCs w:val="32"/>
        </w:rPr>
        <w:t>1</w:t>
      </w:r>
      <w:r>
        <w:rPr>
          <w:rFonts w:ascii="仿宋_GB2312" w:eastAsia="仿宋_GB2312" w:hAnsi="黑体" w:hint="eastAsia"/>
          <w:sz w:val="32"/>
          <w:szCs w:val="32"/>
        </w:rPr>
        <w:t>个月届满的次一交易日，披露股票被实施退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警示的公告，公司股票自公告披露日后的次一交易日起复牌。自复牌之日起，本所对公司股票实施退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w:t>
      </w:r>
    </w:p>
    <w:p w14:paraId="4ABD2E43"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停牌期间股本总额或者股权分布重新具备上市条件的，上市公司应当及时披露并申请股票复牌。</w:t>
      </w:r>
    </w:p>
    <w:p w14:paraId="56A48A5E" w14:textId="77777777" w:rsidR="000C29B8" w:rsidRDefault="00000000">
      <w:pPr>
        <w:numPr>
          <w:ilvl w:val="2"/>
          <w:numId w:val="50"/>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lastRenderedPageBreak/>
        <w:t xml:space="preserve"> 上市公司出现第12.5.1条第一款第六项、第八项至第十项规定情形之一的，应当及时披露相关情形，公司股票自该情形出现的次一交易日起停牌。</w:t>
      </w:r>
    </w:p>
    <w:p w14:paraId="015D23AD"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本所在停牌之日起5个交易日内，对上市公司股票实施退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警示。公司应当按照本所要求在其股票被实施退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警示前及时发布公告。公司股票自公告披露日后的次一交易日起复牌。公告披露日为</w:t>
      </w:r>
      <w:proofErr w:type="gramStart"/>
      <w:r>
        <w:rPr>
          <w:rFonts w:ascii="仿宋_GB2312" w:eastAsia="仿宋_GB2312" w:hAnsi="黑体" w:hint="eastAsia"/>
          <w:sz w:val="32"/>
          <w:szCs w:val="32"/>
        </w:rPr>
        <w:t>非交易</w:t>
      </w:r>
      <w:proofErr w:type="gramEnd"/>
      <w:r>
        <w:rPr>
          <w:rFonts w:ascii="仿宋_GB2312" w:eastAsia="仿宋_GB2312" w:hAnsi="黑体" w:hint="eastAsia"/>
          <w:sz w:val="32"/>
          <w:szCs w:val="32"/>
        </w:rPr>
        <w:t>日的，于披露后的第二个交易日起复牌。自复牌之日起，本所对公司股票实施退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w:t>
      </w:r>
    </w:p>
    <w:p w14:paraId="6D2E4A0F" w14:textId="77777777" w:rsidR="000C29B8" w:rsidRDefault="00000000">
      <w:pPr>
        <w:numPr>
          <w:ilvl w:val="2"/>
          <w:numId w:val="50"/>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Arial Unicode MS" w:cs="Arial Unicode MS" w:hint="eastAsia"/>
          <w:color w:val="000000"/>
          <w:sz w:val="32"/>
          <w:szCs w:val="32"/>
        </w:rPr>
        <w:t xml:space="preserve"> 上市</w:t>
      </w:r>
      <w:r>
        <w:rPr>
          <w:rFonts w:ascii="仿宋_GB2312" w:eastAsia="仿宋_GB2312" w:hAnsi="Arial Unicode MS" w:cs="Arial Unicode MS"/>
          <w:color w:val="000000"/>
          <w:sz w:val="32"/>
          <w:szCs w:val="32"/>
        </w:rPr>
        <w:t>公司</w:t>
      </w:r>
      <w:r>
        <w:rPr>
          <w:rFonts w:ascii="仿宋_GB2312" w:eastAsia="仿宋_GB2312" w:hAnsi="Arial Unicode MS" w:cs="Arial Unicode MS" w:hint="eastAsia"/>
          <w:color w:val="000000"/>
          <w:sz w:val="32"/>
          <w:szCs w:val="32"/>
        </w:rPr>
        <w:t>因第12.5.1条第一款第一项至第五项、第七项、第八项规定情形被实施退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警示的，</w:t>
      </w:r>
      <w:r>
        <w:rPr>
          <w:rFonts w:ascii="仿宋_GB2312" w:eastAsia="仿宋_GB2312" w:hAnsi="黑体" w:hint="eastAsia"/>
          <w:sz w:val="32"/>
          <w:szCs w:val="32"/>
        </w:rPr>
        <w:t>股票被实施退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警示期间，上市公司应当每5个交易日披露一次风险提示公告，提示其股票可能被终止上市的风险。</w:t>
      </w:r>
    </w:p>
    <w:p w14:paraId="23DC13B8"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上市公司股票因第12.5.1条第一款第六项规定情形被实施退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警示的，在被实施退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警示期间，公司应当至少每月披露1次公司股票可能被终止上市的风险提示公告，并且应当在其股票被实施退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警示当年会计年度结束后一个月内，披露股票可能被终止上市的风险提示公告，并在首次披露风险提示公告后至该年财务报告内部控制审计报告披露前，每10个交易日披露一次风险提示公告。</w:t>
      </w:r>
    </w:p>
    <w:p w14:paraId="4CED3902" w14:textId="77777777" w:rsidR="000C29B8" w:rsidRDefault="00000000">
      <w:pPr>
        <w:numPr>
          <w:ilvl w:val="2"/>
          <w:numId w:val="50"/>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 xml:space="preserve"> 上市公司股票因第</w:t>
      </w:r>
      <w:r>
        <w:rPr>
          <w:rFonts w:ascii="仿宋_GB2312" w:eastAsia="仿宋_GB2312" w:hAnsi="黑体"/>
          <w:sz w:val="32"/>
          <w:szCs w:val="32"/>
        </w:rPr>
        <w:t>12.</w:t>
      </w:r>
      <w:r>
        <w:rPr>
          <w:rFonts w:ascii="仿宋_GB2312" w:eastAsia="仿宋_GB2312" w:hAnsi="黑体" w:hint="eastAsia"/>
          <w:sz w:val="32"/>
          <w:szCs w:val="32"/>
        </w:rPr>
        <w:t>5</w:t>
      </w:r>
      <w:r>
        <w:rPr>
          <w:rFonts w:ascii="仿宋_GB2312" w:eastAsia="仿宋_GB2312" w:hAnsi="黑体"/>
          <w:sz w:val="32"/>
          <w:szCs w:val="32"/>
        </w:rPr>
        <w:t>.1</w:t>
      </w:r>
      <w:r>
        <w:rPr>
          <w:rFonts w:ascii="仿宋_GB2312" w:eastAsia="仿宋_GB2312" w:hAnsi="黑体" w:hint="eastAsia"/>
          <w:sz w:val="32"/>
          <w:szCs w:val="32"/>
        </w:rPr>
        <w:t>条第一款第九项情形被实施退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警示的，公司应当分阶段及时披露法院裁定批准公司重整计划、和解协议或者终止重整、和解程序等重整事项的进展，并充分提示相关风险</w:t>
      </w:r>
      <w:r>
        <w:rPr>
          <w:rFonts w:ascii="仿宋_GB2312" w:eastAsia="仿宋_GB2312" w:hAnsi="黑体"/>
          <w:sz w:val="32"/>
          <w:szCs w:val="32"/>
        </w:rPr>
        <w:t>。</w:t>
      </w:r>
    </w:p>
    <w:p w14:paraId="43B0E049"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上市公司破产重整的停复牌应当遵守本所相关规定。</w:t>
      </w:r>
    </w:p>
    <w:p w14:paraId="73993333" w14:textId="77777777" w:rsidR="000C29B8" w:rsidRDefault="00000000">
      <w:pPr>
        <w:numPr>
          <w:ilvl w:val="2"/>
          <w:numId w:val="50"/>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 xml:space="preserve"> 上市公司股票因第12.5.1条第一款第一项至第八项情形被实施退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警示后，符合下列对应条件的，可以向本所申请撤销对其股票实施的退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警示并披露：</w:t>
      </w:r>
    </w:p>
    <w:p w14:paraId="574E0DD5"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（一）因第12.5.1条第一款第一项情形被实施退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警示之日后2个月内，披露</w:t>
      </w:r>
      <w:proofErr w:type="gramStart"/>
      <w:r>
        <w:rPr>
          <w:rFonts w:ascii="仿宋_GB2312" w:eastAsia="仿宋_GB2312" w:hAnsi="黑体" w:hint="eastAsia"/>
          <w:sz w:val="32"/>
          <w:szCs w:val="32"/>
        </w:rPr>
        <w:t>经改正</w:t>
      </w:r>
      <w:proofErr w:type="gramEnd"/>
      <w:r>
        <w:rPr>
          <w:rFonts w:ascii="仿宋_GB2312" w:eastAsia="仿宋_GB2312" w:hAnsi="黑体" w:hint="eastAsia"/>
          <w:sz w:val="32"/>
          <w:szCs w:val="32"/>
        </w:rPr>
        <w:t>的财务会计报告；</w:t>
      </w:r>
    </w:p>
    <w:p w14:paraId="68758A34"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（二）因第12.5.1条第一款第二项情形被实施退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警示之日后2个月内，披露相关年度报告或者半年度报告，且不存在半数以上董事无法保证真实、准确、完整情形；</w:t>
      </w:r>
    </w:p>
    <w:p w14:paraId="0043E754"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（三）</w:t>
      </w:r>
      <w:r>
        <w:rPr>
          <w:rFonts w:ascii="仿宋_GB2312" w:eastAsia="仿宋_GB2312" w:hAnsi="Arial Unicode MS" w:cs="Arial Unicode MS" w:hint="eastAsia"/>
          <w:color w:val="000000"/>
          <w:sz w:val="32"/>
          <w:szCs w:val="32"/>
        </w:rPr>
        <w:t>因第12.5.1条第一款第三项规定情形被实施退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警示之日后2个月内，超过半数董事保证公司所披露相关定期报告的真实性、准确性和完整性；</w:t>
      </w:r>
    </w:p>
    <w:p w14:paraId="480E2D59"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（四）因第12.5.1条第一款第四项情形被实施退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警示之日后2个月内，公司已按要求完成整改，具备健全的公司治理结构，运作规范，信息披露和内控制度无重大缺陷；</w:t>
      </w:r>
    </w:p>
    <w:p w14:paraId="62EE9323"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（五）因第12.5.1条第一款第五项规定情形被实施退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警示之日后2个月内，公司完成改正，且不存在控股股东及其关联方其他非经营性占用资金情形；</w:t>
      </w:r>
    </w:p>
    <w:p w14:paraId="758F8BD7"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（六）因第12.5.1条第一款第六项规定情形被实施退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警示后，最近一个会计年度公司财务报告内部控制被出具无保留意见的审计报告；</w:t>
      </w:r>
    </w:p>
    <w:p w14:paraId="1EF4A70D"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（七）因第12.5.1条第一款第七项情形被实施退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警示之日后6个月内，解决股本总额或股权分布问题，且</w:t>
      </w:r>
      <w:r>
        <w:rPr>
          <w:rFonts w:ascii="仿宋_GB2312" w:eastAsia="仿宋_GB2312" w:hAnsi="黑体" w:hint="eastAsia"/>
          <w:sz w:val="32"/>
          <w:szCs w:val="32"/>
        </w:rPr>
        <w:lastRenderedPageBreak/>
        <w:t>其股本总额或股权分布重新具备上市条件；</w:t>
      </w:r>
    </w:p>
    <w:p w14:paraId="2AB95F96"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（八）因第</w:t>
      </w:r>
      <w:r>
        <w:rPr>
          <w:rFonts w:ascii="仿宋_GB2312" w:eastAsia="仿宋_GB2312" w:hAnsi="黑体"/>
          <w:sz w:val="32"/>
          <w:szCs w:val="32"/>
        </w:rPr>
        <w:t>12.</w:t>
      </w:r>
      <w:r>
        <w:rPr>
          <w:rFonts w:ascii="仿宋_GB2312" w:eastAsia="仿宋_GB2312" w:hAnsi="黑体" w:hint="eastAsia"/>
          <w:sz w:val="32"/>
          <w:szCs w:val="32"/>
        </w:rPr>
        <w:t>5</w:t>
      </w:r>
      <w:r>
        <w:rPr>
          <w:rFonts w:ascii="仿宋_GB2312" w:eastAsia="仿宋_GB2312" w:hAnsi="黑体"/>
          <w:sz w:val="32"/>
          <w:szCs w:val="32"/>
        </w:rPr>
        <w:t>.1条</w:t>
      </w:r>
      <w:r>
        <w:rPr>
          <w:rFonts w:ascii="仿宋_GB2312" w:eastAsia="仿宋_GB2312" w:hAnsi="黑体" w:hint="eastAsia"/>
          <w:sz w:val="32"/>
          <w:szCs w:val="32"/>
        </w:rPr>
        <w:t>第一款</w:t>
      </w:r>
      <w:r>
        <w:rPr>
          <w:rFonts w:ascii="仿宋_GB2312" w:eastAsia="仿宋_GB2312" w:hAnsi="黑体"/>
          <w:sz w:val="32"/>
          <w:szCs w:val="32"/>
        </w:rPr>
        <w:t>第</w:t>
      </w:r>
      <w:r>
        <w:rPr>
          <w:rFonts w:ascii="仿宋_GB2312" w:eastAsia="仿宋_GB2312" w:hAnsi="黑体" w:hint="eastAsia"/>
          <w:sz w:val="32"/>
          <w:szCs w:val="32"/>
        </w:rPr>
        <w:t>八项情形被实施退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警示后，公司可能被依法强制解散的情形已消除。</w:t>
      </w:r>
    </w:p>
    <w:p w14:paraId="2494CA5F"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前款规定的第四项情形，由本所提请上市委员会审议，并根据上市委员会审议意见</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是否撤销退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警示的决定。</w:t>
      </w:r>
    </w:p>
    <w:p w14:paraId="7B245FEC"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公司股票因第12.5.1条第一款第六项规定情形被实施退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警示后，最近一个会计年度公司因进行破产重整、重组上市或者重大资产重组，按照相关规定无法披露财务报告内部控制审计报告的，公司股票继续被实施退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w:t>
      </w:r>
    </w:p>
    <w:p w14:paraId="3D80D087" w14:textId="77777777" w:rsidR="000C29B8" w:rsidRDefault="00000000">
      <w:pPr>
        <w:numPr>
          <w:ilvl w:val="2"/>
          <w:numId w:val="50"/>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 xml:space="preserve"> 上市公司股票因第</w:t>
      </w:r>
      <w:r>
        <w:rPr>
          <w:rFonts w:ascii="仿宋_GB2312" w:eastAsia="仿宋_GB2312" w:hAnsi="黑体"/>
          <w:sz w:val="32"/>
          <w:szCs w:val="32"/>
        </w:rPr>
        <w:t>12.</w:t>
      </w:r>
      <w:r>
        <w:rPr>
          <w:rFonts w:ascii="仿宋_GB2312" w:eastAsia="仿宋_GB2312" w:hAnsi="黑体" w:hint="eastAsia"/>
          <w:sz w:val="32"/>
          <w:szCs w:val="32"/>
        </w:rPr>
        <w:t>5</w:t>
      </w:r>
      <w:r>
        <w:rPr>
          <w:rFonts w:ascii="仿宋_GB2312" w:eastAsia="仿宋_GB2312" w:hAnsi="黑体"/>
          <w:sz w:val="32"/>
          <w:szCs w:val="32"/>
        </w:rPr>
        <w:t>.1条</w:t>
      </w:r>
      <w:r>
        <w:rPr>
          <w:rFonts w:ascii="仿宋_GB2312" w:eastAsia="仿宋_GB2312" w:hAnsi="黑体" w:hint="eastAsia"/>
          <w:sz w:val="32"/>
          <w:szCs w:val="32"/>
        </w:rPr>
        <w:t>第一款</w:t>
      </w:r>
      <w:r>
        <w:rPr>
          <w:rFonts w:ascii="仿宋_GB2312" w:eastAsia="仿宋_GB2312" w:hAnsi="黑体"/>
          <w:sz w:val="32"/>
          <w:szCs w:val="32"/>
        </w:rPr>
        <w:t>第</w:t>
      </w:r>
      <w:r>
        <w:rPr>
          <w:rFonts w:ascii="仿宋_GB2312" w:eastAsia="仿宋_GB2312" w:hAnsi="黑体" w:hint="eastAsia"/>
          <w:sz w:val="32"/>
          <w:szCs w:val="32"/>
        </w:rPr>
        <w:t>九项情形被实施退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警示后，符合下列条件之一的，公司可以向本所申请撤销对其股票实施的退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警示并披露：</w:t>
      </w:r>
    </w:p>
    <w:p w14:paraId="11CCA52F" w14:textId="77777777" w:rsidR="000C29B8" w:rsidRDefault="00000000">
      <w:pPr>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（一）重整计划执行完毕；</w:t>
      </w:r>
    </w:p>
    <w:p w14:paraId="72E9C341" w14:textId="77777777" w:rsidR="000C29B8" w:rsidRDefault="00000000">
      <w:pPr>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（二）和解协议执行完毕；</w:t>
      </w:r>
    </w:p>
    <w:p w14:paraId="0CF483E3" w14:textId="77777777" w:rsidR="000C29B8" w:rsidRDefault="00000000">
      <w:pPr>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（三）法院受理破产申请后至破产宣告前，依据《中华人民共和国企业破产法》（以下简称《企业破产法》）</w:t>
      </w:r>
      <w:proofErr w:type="gramStart"/>
      <w:r>
        <w:rPr>
          <w:rFonts w:ascii="仿宋_GB2312" w:eastAsia="仿宋_GB2312" w:hAnsi="Arial Unicode MS" w:cs="Arial Unicode MS" w:hint="eastAsia"/>
          <w:color w:val="000000"/>
          <w:sz w:val="32"/>
          <w:szCs w:val="32"/>
        </w:rPr>
        <w:t>作出</w:t>
      </w:r>
      <w:proofErr w:type="gramEnd"/>
      <w:r>
        <w:rPr>
          <w:rFonts w:ascii="仿宋_GB2312" w:eastAsia="仿宋_GB2312" w:hAnsi="Arial Unicode MS" w:cs="Arial Unicode MS" w:hint="eastAsia"/>
          <w:color w:val="000000"/>
          <w:sz w:val="32"/>
          <w:szCs w:val="32"/>
        </w:rPr>
        <w:t>驳回破产申请的裁定，且申请人在法定期限内未提起上诉；</w:t>
      </w:r>
    </w:p>
    <w:p w14:paraId="1B7444E7" w14:textId="77777777" w:rsidR="000C29B8" w:rsidRDefault="00000000">
      <w:pPr>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（四）因公司已清偿全部到期债务、第三人为公司提供足额担保或者清偿全部到期债务，法院受理破产申请后至破产宣告前，依据《企业破产法》</w:t>
      </w:r>
      <w:proofErr w:type="gramStart"/>
      <w:r>
        <w:rPr>
          <w:rFonts w:ascii="仿宋_GB2312" w:eastAsia="仿宋_GB2312" w:hAnsi="Arial Unicode MS" w:cs="Arial Unicode MS" w:hint="eastAsia"/>
          <w:color w:val="000000"/>
          <w:sz w:val="32"/>
          <w:szCs w:val="32"/>
        </w:rPr>
        <w:t>作出</w:t>
      </w:r>
      <w:proofErr w:type="gramEnd"/>
      <w:r>
        <w:rPr>
          <w:rFonts w:ascii="仿宋_GB2312" w:eastAsia="仿宋_GB2312" w:hAnsi="Arial Unicode MS" w:cs="Arial Unicode MS" w:hint="eastAsia"/>
          <w:color w:val="000000"/>
          <w:sz w:val="32"/>
          <w:szCs w:val="32"/>
        </w:rPr>
        <w:t>终结破产程序的裁定。</w:t>
      </w:r>
    </w:p>
    <w:p w14:paraId="5684168D"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公司因前款第一项、第二项情形向本所申请撤销对其股票实施的退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警示，应当提交法院指定管理人出具的监督报告、律师事务所出具的对公司重整计划或和解协议执行</w:t>
      </w:r>
      <w:r>
        <w:rPr>
          <w:rFonts w:ascii="仿宋_GB2312" w:eastAsia="仿宋_GB2312" w:hAnsi="Arial Unicode MS" w:cs="Arial Unicode MS" w:hint="eastAsia"/>
          <w:color w:val="000000"/>
          <w:sz w:val="32"/>
          <w:szCs w:val="32"/>
        </w:rPr>
        <w:lastRenderedPageBreak/>
        <w:t>情况的法律意见书，以及本所要求的其他说明文件。</w:t>
      </w:r>
    </w:p>
    <w:p w14:paraId="246207C0" w14:textId="77777777" w:rsidR="000C29B8" w:rsidRDefault="00000000">
      <w:pPr>
        <w:numPr>
          <w:ilvl w:val="2"/>
          <w:numId w:val="50"/>
        </w:numPr>
        <w:tabs>
          <w:tab w:val="left" w:pos="1560"/>
        </w:tabs>
        <w:snapToGrid w:val="0"/>
        <w:spacing w:line="560" w:lineRule="exact"/>
        <w:ind w:left="0" w:firstLineChars="200" w:firstLine="640"/>
        <w:rPr>
          <w:rFonts w:ascii="仿宋_GB2312" w:eastAsia="仿宋_GB2312" w:hAnsi="Arial Unicode MS" w:cs="Arial Unicode MS"/>
          <w:color w:val="000000"/>
          <w:sz w:val="32"/>
          <w:szCs w:val="32"/>
        </w:rPr>
      </w:pPr>
      <w:r>
        <w:rPr>
          <w:rFonts w:ascii="仿宋_GB2312" w:eastAsia="仿宋_GB2312" w:hAnsi="黑体" w:hint="eastAsia"/>
          <w:sz w:val="32"/>
          <w:szCs w:val="32"/>
        </w:rPr>
        <w:t>上市公司符合12.5.8条、第12.5.9条规定条件的，应当于相关情形出现后及时披露，并说明是否将向本所申请撤销退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警示。公司可以在披露之日起的5个交易日内，向本所申请撤销对其</w:t>
      </w:r>
      <w:r>
        <w:rPr>
          <w:rFonts w:ascii="仿宋_GB2312" w:eastAsia="仿宋_GB2312" w:hAnsi="黑体"/>
          <w:sz w:val="32"/>
          <w:szCs w:val="32"/>
        </w:rPr>
        <w:t>股票实施的</w:t>
      </w:r>
      <w:r>
        <w:rPr>
          <w:rFonts w:ascii="仿宋_GB2312" w:eastAsia="仿宋_GB2312" w:hAnsi="黑体" w:hint="eastAsia"/>
          <w:sz w:val="32"/>
          <w:szCs w:val="32"/>
        </w:rPr>
        <w:t>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警示并披露。</w:t>
      </w:r>
      <w:r>
        <w:rPr>
          <w:rFonts w:ascii="仿宋_GB2312" w:eastAsia="仿宋_GB2312" w:hAnsi="Arial Unicode MS" w:cs="Arial Unicode MS" w:hint="eastAsia"/>
          <w:color w:val="000000"/>
          <w:sz w:val="32"/>
          <w:szCs w:val="32"/>
        </w:rPr>
        <w:t>上市公司不符合12.5.8条、第12.5.9条</w:t>
      </w:r>
      <w:r>
        <w:rPr>
          <w:rFonts w:ascii="仿宋_GB2312" w:eastAsia="仿宋_GB2312" w:hAnsi="黑体" w:hint="eastAsia"/>
          <w:sz w:val="32"/>
          <w:szCs w:val="32"/>
        </w:rPr>
        <w:t>规定的撤销退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w:t>
      </w:r>
      <w:r>
        <w:rPr>
          <w:rFonts w:ascii="仿宋_GB2312" w:eastAsia="仿宋_GB2312" w:hAnsi="Arial Unicode MS" w:cs="Arial Unicode MS" w:hint="eastAsia"/>
          <w:color w:val="000000"/>
          <w:sz w:val="32"/>
          <w:szCs w:val="32"/>
        </w:rPr>
        <w:t>条件或者未在规定期限内申请撤销退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警示的，本所决定终止其股票上市。</w:t>
      </w:r>
    </w:p>
    <w:p w14:paraId="5FD01323"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公司依据第12.5.8条第一款第一项、第三项、第六项、第七项规定向本所申请撤销退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警示的，本所可以要求公司同时提交中介机构出具的专项核查意见。</w:t>
      </w:r>
    </w:p>
    <w:p w14:paraId="4C7AFD02"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公司按照第12.5.8</w:t>
      </w:r>
      <w:r>
        <w:rPr>
          <w:rFonts w:ascii="仿宋_GB2312" w:eastAsia="仿宋_GB2312" w:hAnsi="Arial Unicode MS" w:cs="Arial Unicode MS"/>
          <w:color w:val="000000"/>
          <w:sz w:val="32"/>
          <w:szCs w:val="32"/>
        </w:rPr>
        <w:t>条第一款</w:t>
      </w:r>
      <w:r>
        <w:rPr>
          <w:rFonts w:ascii="仿宋_GB2312" w:eastAsia="仿宋_GB2312" w:hAnsi="Arial Unicode MS" w:cs="Arial Unicode MS" w:hint="eastAsia"/>
          <w:color w:val="000000"/>
          <w:sz w:val="32"/>
          <w:szCs w:val="32"/>
        </w:rPr>
        <w:t>第四项规定向本所申请撤销退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警示的，应当按照本所要求同时披露中介机构专项核查意见，说明公司信息披露、规范运作无重大缺陷。</w:t>
      </w:r>
    </w:p>
    <w:p w14:paraId="254900A8"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color w:val="000000"/>
          <w:sz w:val="32"/>
          <w:szCs w:val="32"/>
        </w:rPr>
      </w:pPr>
      <w:r>
        <w:rPr>
          <w:rFonts w:ascii="仿宋_GB2312" w:eastAsia="仿宋_GB2312" w:hAnsi="Arial Unicode MS" w:cs="Arial Unicode MS" w:hint="eastAsia"/>
          <w:color w:val="000000"/>
          <w:sz w:val="32"/>
          <w:szCs w:val="32"/>
        </w:rPr>
        <w:t>公司按照第12.5.8条第一款第五项规定向本所申请撤销退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警示的，应当提交会计师事务所出具的专项核查意见等文件。</w:t>
      </w:r>
    </w:p>
    <w:p w14:paraId="7CAAF915" w14:textId="77777777" w:rsidR="000C29B8" w:rsidRDefault="00000000">
      <w:pPr>
        <w:numPr>
          <w:ilvl w:val="2"/>
          <w:numId w:val="50"/>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Arial Unicode MS" w:cs="Arial Unicode MS" w:hint="eastAsia"/>
          <w:color w:val="000000"/>
          <w:sz w:val="32"/>
          <w:szCs w:val="32"/>
        </w:rPr>
        <w:t>上市公司提交完备的申请材料的，本所在15个交易日内</w:t>
      </w:r>
      <w:proofErr w:type="gramStart"/>
      <w:r>
        <w:rPr>
          <w:rFonts w:ascii="仿宋_GB2312" w:eastAsia="仿宋_GB2312" w:hAnsi="Arial Unicode MS" w:cs="Arial Unicode MS" w:hint="eastAsia"/>
          <w:color w:val="000000"/>
          <w:sz w:val="32"/>
          <w:szCs w:val="32"/>
        </w:rPr>
        <w:t>作出</w:t>
      </w:r>
      <w:proofErr w:type="gramEnd"/>
      <w:r>
        <w:rPr>
          <w:rFonts w:ascii="仿宋_GB2312" w:eastAsia="仿宋_GB2312" w:hAnsi="Arial Unicode MS" w:cs="Arial Unicode MS" w:hint="eastAsia"/>
          <w:color w:val="000000"/>
          <w:sz w:val="32"/>
          <w:szCs w:val="32"/>
        </w:rPr>
        <w:t>是否撤销退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警示的决定。在此期间，本所要求公司提供补充材料的，公司应当在本所规定期限内提供有关材料。公司补充材料期间不计入本所</w:t>
      </w:r>
      <w:proofErr w:type="gramStart"/>
      <w:r>
        <w:rPr>
          <w:rFonts w:ascii="仿宋_GB2312" w:eastAsia="仿宋_GB2312" w:hAnsi="Arial Unicode MS" w:cs="Arial Unicode MS" w:hint="eastAsia"/>
          <w:color w:val="000000"/>
          <w:sz w:val="32"/>
          <w:szCs w:val="32"/>
        </w:rPr>
        <w:t>作出</w:t>
      </w:r>
      <w:proofErr w:type="gramEnd"/>
      <w:r>
        <w:rPr>
          <w:rFonts w:ascii="仿宋_GB2312" w:eastAsia="仿宋_GB2312" w:hAnsi="Arial Unicode MS" w:cs="Arial Unicode MS" w:hint="eastAsia"/>
          <w:color w:val="000000"/>
          <w:sz w:val="32"/>
          <w:szCs w:val="32"/>
        </w:rPr>
        <w:t>有关决定的期限。</w:t>
      </w:r>
    </w:p>
    <w:p w14:paraId="4622827B" w14:textId="77777777" w:rsidR="000C29B8" w:rsidRDefault="00000000">
      <w:pPr>
        <w:numPr>
          <w:ilvl w:val="2"/>
          <w:numId w:val="50"/>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Arial Unicode MS" w:cs="Arial Unicode MS" w:hint="eastAsia"/>
          <w:color w:val="000000"/>
          <w:sz w:val="32"/>
          <w:szCs w:val="32"/>
        </w:rPr>
        <w:t>本所决定撤销退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警示的，上市公司应当按照本所要求在</w:t>
      </w:r>
      <w:r>
        <w:rPr>
          <w:rFonts w:ascii="仿宋_GB2312" w:eastAsia="仿宋_GB2312" w:hAnsi="Arial Unicode MS" w:cs="Arial Unicode MS"/>
          <w:color w:val="000000"/>
          <w:sz w:val="32"/>
          <w:szCs w:val="32"/>
        </w:rPr>
        <w:t>撤销退</w:t>
      </w:r>
      <w:proofErr w:type="gramStart"/>
      <w:r>
        <w:rPr>
          <w:rFonts w:ascii="仿宋_GB2312" w:eastAsia="仿宋_GB2312" w:hAnsi="Arial Unicode MS" w:cs="Arial Unicode MS"/>
          <w:color w:val="000000"/>
          <w:sz w:val="32"/>
          <w:szCs w:val="32"/>
        </w:rPr>
        <w:t>市风险</w:t>
      </w:r>
      <w:proofErr w:type="gramEnd"/>
      <w:r>
        <w:rPr>
          <w:rFonts w:ascii="仿宋_GB2312" w:eastAsia="仿宋_GB2312" w:hAnsi="Arial Unicode MS" w:cs="Arial Unicode MS"/>
          <w:color w:val="000000"/>
          <w:sz w:val="32"/>
          <w:szCs w:val="32"/>
        </w:rPr>
        <w:t>警示</w:t>
      </w:r>
      <w:r>
        <w:rPr>
          <w:rFonts w:ascii="仿宋_GB2312" w:eastAsia="仿宋_GB2312" w:hAnsi="黑体" w:hint="eastAsia"/>
          <w:sz w:val="32"/>
          <w:szCs w:val="32"/>
        </w:rPr>
        <w:t>之前一个交易日</w:t>
      </w:r>
      <w:r>
        <w:rPr>
          <w:rFonts w:ascii="仿宋_GB2312" w:eastAsia="仿宋_GB2312" w:hAnsi="Arial Unicode MS" w:cs="Arial Unicode MS"/>
          <w:color w:val="000000"/>
          <w:sz w:val="32"/>
          <w:szCs w:val="32"/>
        </w:rPr>
        <w:t>披露</w:t>
      </w:r>
      <w:r>
        <w:rPr>
          <w:rFonts w:ascii="仿宋_GB2312" w:eastAsia="仿宋_GB2312" w:hAnsi="Arial Unicode MS" w:cs="Arial Unicode MS" w:hint="eastAsia"/>
          <w:color w:val="000000"/>
          <w:sz w:val="32"/>
          <w:szCs w:val="32"/>
        </w:rPr>
        <w:lastRenderedPageBreak/>
        <w:t>公告。</w:t>
      </w:r>
      <w:r>
        <w:rPr>
          <w:rFonts w:ascii="仿宋_GB2312" w:eastAsia="仿宋_GB2312" w:hAnsi="黑体" w:hint="eastAsia"/>
          <w:sz w:val="32"/>
          <w:szCs w:val="32"/>
        </w:rPr>
        <w:t>公司股票在公告披露日停牌一天，本所自复牌之日起撤销对公司股票实施的退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w:t>
      </w:r>
    </w:p>
    <w:p w14:paraId="34F4793C" w14:textId="77777777" w:rsidR="000C29B8" w:rsidRDefault="00000000">
      <w:pPr>
        <w:numPr>
          <w:ilvl w:val="2"/>
          <w:numId w:val="50"/>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本所决定不予撤销退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警示的，公司应当在收到本所有关书面通知的次一交易日披露公告。公司未按规定公告的，</w:t>
      </w:r>
      <w:r>
        <w:rPr>
          <w:rFonts w:ascii="仿宋_GB2312" w:eastAsia="仿宋_GB2312" w:hAnsi="Arial Unicode MS" w:cs="Arial Unicode MS" w:hint="eastAsia"/>
          <w:color w:val="000000"/>
          <w:sz w:val="32"/>
          <w:szCs w:val="32"/>
        </w:rPr>
        <w:t>本所可以交易所公告的形式予以公告</w:t>
      </w:r>
      <w:r>
        <w:rPr>
          <w:rFonts w:ascii="仿宋_GB2312" w:eastAsia="仿宋_GB2312" w:hAnsi="黑体" w:hint="eastAsia"/>
          <w:sz w:val="32"/>
          <w:szCs w:val="32"/>
        </w:rPr>
        <w:t>。</w:t>
      </w:r>
    </w:p>
    <w:p w14:paraId="21DBB064"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上市公司虽满足第12.5.8条、第12.5.9条规定的退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警示撤销条件，但具有其他退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警示情形的，按其他退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警示的程序执行，</w:t>
      </w:r>
      <w:r>
        <w:rPr>
          <w:rFonts w:ascii="仿宋_GB2312" w:eastAsia="仿宋_GB2312" w:hAnsi="黑体"/>
          <w:sz w:val="32"/>
          <w:szCs w:val="32"/>
        </w:rPr>
        <w:t>不予撤销退</w:t>
      </w:r>
      <w:proofErr w:type="gramStart"/>
      <w:r>
        <w:rPr>
          <w:rFonts w:ascii="仿宋_GB2312" w:eastAsia="仿宋_GB2312" w:hAnsi="黑体"/>
          <w:sz w:val="32"/>
          <w:szCs w:val="32"/>
        </w:rPr>
        <w:t>市风险</w:t>
      </w:r>
      <w:proofErr w:type="gramEnd"/>
      <w:r>
        <w:rPr>
          <w:rFonts w:ascii="仿宋_GB2312" w:eastAsia="仿宋_GB2312" w:hAnsi="黑体"/>
          <w:sz w:val="32"/>
          <w:szCs w:val="32"/>
        </w:rPr>
        <w:t>警示</w:t>
      </w:r>
      <w:r>
        <w:rPr>
          <w:rFonts w:ascii="仿宋_GB2312" w:eastAsia="仿宋_GB2312" w:hAnsi="黑体" w:hint="eastAsia"/>
          <w:sz w:val="32"/>
          <w:szCs w:val="32"/>
        </w:rPr>
        <w:t>。</w:t>
      </w:r>
    </w:p>
    <w:p w14:paraId="040AABA6" w14:textId="77777777" w:rsidR="000C29B8" w:rsidRDefault="00000000">
      <w:pPr>
        <w:numPr>
          <w:ilvl w:val="2"/>
          <w:numId w:val="50"/>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上市公司未满足第12.5.8条第一款第一项至第五项、第七项，第12.5.9条规定的撤销退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警示条件，或者未在第12.5.10条规定的期限内向本所申请撤销退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警示的，公司应当在相应期限届满或者收到本所不予撤销退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警示通知的次一交易日披露公司股票可能被终止上市的风险提示公告，公司股票自公告披露之日起停牌。</w:t>
      </w:r>
    </w:p>
    <w:p w14:paraId="28679F13"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上市公司未满足第12.5.8条第一款第六项规定的撤销退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警示条件，公司应当及时披露公司股票可能被终止上市的风险提示公告，公司股票自公告披露之日起停牌，披露日为</w:t>
      </w:r>
      <w:proofErr w:type="gramStart"/>
      <w:r>
        <w:rPr>
          <w:rFonts w:ascii="仿宋_GB2312" w:eastAsia="仿宋_GB2312" w:hAnsi="黑体" w:hint="eastAsia"/>
          <w:sz w:val="32"/>
          <w:szCs w:val="32"/>
        </w:rPr>
        <w:t>非交易</w:t>
      </w:r>
      <w:proofErr w:type="gramEnd"/>
      <w:r>
        <w:rPr>
          <w:rFonts w:ascii="仿宋_GB2312" w:eastAsia="仿宋_GB2312" w:hAnsi="黑体" w:hint="eastAsia"/>
          <w:sz w:val="32"/>
          <w:szCs w:val="32"/>
        </w:rPr>
        <w:t>日的，自披露后的次一个交易日起停牌。</w:t>
      </w:r>
    </w:p>
    <w:p w14:paraId="2A4E7658"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上市公司股票因第12.5.1条第一款第八项、第九项情形被实施退</w:t>
      </w:r>
      <w:proofErr w:type="gramStart"/>
      <w:r>
        <w:rPr>
          <w:rFonts w:ascii="仿宋_GB2312" w:eastAsia="仿宋_GB2312" w:hAnsi="黑体" w:hint="eastAsia"/>
          <w:sz w:val="32"/>
          <w:szCs w:val="32"/>
        </w:rPr>
        <w:t>市风险</w:t>
      </w:r>
      <w:proofErr w:type="gramEnd"/>
      <w:r>
        <w:rPr>
          <w:rFonts w:ascii="仿宋_GB2312" w:eastAsia="仿宋_GB2312" w:hAnsi="黑体" w:hint="eastAsia"/>
          <w:sz w:val="32"/>
          <w:szCs w:val="32"/>
        </w:rPr>
        <w:t>警示后，应当最迟于知道公司依法被吊销营业执照、被责令关闭或者被撤销等强制解散条件成就，或者收到法院宣告公司破产的裁定书的次一交易日披露有关情况，同时披露公司股票可能被终止上市的风险提示公告，公司股票自公告披露之日起停牌。</w:t>
      </w:r>
    </w:p>
    <w:p w14:paraId="1F1ECAAA" w14:textId="77777777" w:rsidR="000C29B8" w:rsidRDefault="00000000">
      <w:pPr>
        <w:numPr>
          <w:ilvl w:val="2"/>
          <w:numId w:val="50"/>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lastRenderedPageBreak/>
        <w:t>本所根据第</w:t>
      </w:r>
      <w:r>
        <w:rPr>
          <w:rFonts w:ascii="仿宋_GB2312" w:eastAsia="仿宋_GB2312" w:hAnsi="黑体"/>
          <w:sz w:val="32"/>
          <w:szCs w:val="32"/>
        </w:rPr>
        <w:t>12.5.</w:t>
      </w:r>
      <w:r>
        <w:rPr>
          <w:rFonts w:ascii="仿宋_GB2312" w:eastAsia="仿宋_GB2312" w:hAnsi="黑体" w:hint="eastAsia"/>
          <w:sz w:val="32"/>
          <w:szCs w:val="32"/>
        </w:rPr>
        <w:t>14条对上市公司股票实施停牌的，自停牌之日起</w:t>
      </w:r>
      <w:r>
        <w:rPr>
          <w:rFonts w:ascii="仿宋_GB2312" w:eastAsia="仿宋_GB2312" w:hAnsi="黑体"/>
          <w:sz w:val="32"/>
          <w:szCs w:val="32"/>
        </w:rPr>
        <w:t>5个交易日内，向公司发出拟终止其股票上市的事先告知书，公司应当及时披露。</w:t>
      </w:r>
    </w:p>
    <w:p w14:paraId="7B51942D" w14:textId="77777777" w:rsidR="000C29B8" w:rsidRDefault="00000000">
      <w:pPr>
        <w:numPr>
          <w:ilvl w:val="2"/>
          <w:numId w:val="50"/>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上市公司收到终止上市事先告知书后，可以根据本章第六节的规定提出听证、陈述和申辩。</w:t>
      </w:r>
    </w:p>
    <w:p w14:paraId="03AE79F0"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本所上市委员会在前款规定的有关期限届满或者听证程序结束后15个交易日内，就是否终止其股票上市事宜进行审议，</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独立的专业判断并形成审议意见。</w:t>
      </w:r>
    </w:p>
    <w:p w14:paraId="57889BC4"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本所根据上市委员会的审议意见，</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是否终止股票上市的决定。</w:t>
      </w:r>
    </w:p>
    <w:p w14:paraId="2ECC9528" w14:textId="77777777" w:rsidR="000C29B8" w:rsidRDefault="00000000">
      <w:pPr>
        <w:numPr>
          <w:ilvl w:val="2"/>
          <w:numId w:val="50"/>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Arial Unicode MS" w:cs="Arial Unicode MS" w:hint="eastAsia"/>
          <w:color w:val="000000"/>
          <w:sz w:val="32"/>
          <w:szCs w:val="32"/>
        </w:rPr>
        <w:t>本所决定不对上市公司股票实施终止上市的，公司应当在收到本所相关决定后，及时披露并申请股票复牌。公司股票不存在其他退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警示情形的，自复牌之日起，本所撤销对公司股票实施的退</w:t>
      </w:r>
      <w:proofErr w:type="gramStart"/>
      <w:r>
        <w:rPr>
          <w:rFonts w:ascii="仿宋_GB2312" w:eastAsia="仿宋_GB2312" w:hAnsi="Arial Unicode MS" w:cs="Arial Unicode MS" w:hint="eastAsia"/>
          <w:color w:val="000000"/>
          <w:sz w:val="32"/>
          <w:szCs w:val="32"/>
        </w:rPr>
        <w:t>市风险</w:t>
      </w:r>
      <w:proofErr w:type="gramEnd"/>
      <w:r>
        <w:rPr>
          <w:rFonts w:ascii="仿宋_GB2312" w:eastAsia="仿宋_GB2312" w:hAnsi="Arial Unicode MS" w:cs="Arial Unicode MS" w:hint="eastAsia"/>
          <w:color w:val="000000"/>
          <w:sz w:val="32"/>
          <w:szCs w:val="32"/>
        </w:rPr>
        <w:t>警示。</w:t>
      </w:r>
    </w:p>
    <w:p w14:paraId="7982E908" w14:textId="77777777" w:rsidR="000C29B8" w:rsidRDefault="00000000">
      <w:pPr>
        <w:numPr>
          <w:ilvl w:val="2"/>
          <w:numId w:val="50"/>
        </w:numPr>
        <w:tabs>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本所在</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终止股票上市的决定之日后2个交易日内，通知上市公司并发布相关公告，同时报中国证监会备案。</w:t>
      </w:r>
    </w:p>
    <w:p w14:paraId="2E32DF61"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上市公司应当在收到本所关于终止其股票上市的决定后，及时披露股票终止上市公告。</w:t>
      </w:r>
    </w:p>
    <w:p w14:paraId="70B04F4C" w14:textId="77777777" w:rsidR="000C29B8" w:rsidRDefault="00000000">
      <w:pPr>
        <w:pStyle w:val="afa"/>
        <w:ind w:firstLine="640"/>
        <w:rPr>
          <w:rFonts w:ascii="仿宋_GB2312" w:hAnsi="黑体"/>
          <w:sz w:val="32"/>
          <w:szCs w:val="32"/>
        </w:rPr>
      </w:pPr>
      <w:r>
        <w:rPr>
          <w:rFonts w:ascii="仿宋_GB2312" w:hAnsi="黑体" w:hint="eastAsia"/>
          <w:sz w:val="32"/>
          <w:szCs w:val="32"/>
        </w:rPr>
        <w:t>上市公司可以按照本章第六节的规定申请复核。</w:t>
      </w:r>
    </w:p>
    <w:p w14:paraId="36DF0641" w14:textId="77777777" w:rsidR="000C29B8" w:rsidRDefault="00000000">
      <w:pPr>
        <w:pStyle w:val="23"/>
      </w:pPr>
      <w:bookmarkStart w:id="668" w:name="_Toc530152982"/>
      <w:bookmarkStart w:id="669" w:name="_Toc530162282"/>
      <w:bookmarkStart w:id="670" w:name="_Toc530162427"/>
      <w:bookmarkStart w:id="671" w:name="_Toc530162419"/>
      <w:bookmarkStart w:id="672" w:name="_Toc530161977"/>
      <w:bookmarkStart w:id="673" w:name="_Toc532393281"/>
      <w:bookmarkStart w:id="674" w:name="_Toc530152498"/>
      <w:bookmarkStart w:id="675" w:name="_Toc530162125"/>
      <w:bookmarkStart w:id="676" w:name="_Toc530152915"/>
      <w:bookmarkStart w:id="677" w:name="_Toc530156282"/>
      <w:bookmarkStart w:id="678" w:name="_Toc530152495"/>
      <w:bookmarkStart w:id="679" w:name="_Toc530162716"/>
      <w:bookmarkStart w:id="680" w:name="_Toc530162725"/>
      <w:bookmarkStart w:id="681" w:name="_Toc530153048"/>
      <w:bookmarkStart w:id="682" w:name="_Toc530162002"/>
      <w:bookmarkStart w:id="683" w:name="_Toc530162292"/>
      <w:bookmarkStart w:id="684" w:name="_Toc530162435"/>
      <w:bookmarkStart w:id="685" w:name="_Toc530152509"/>
      <w:bookmarkStart w:id="686" w:name="_Toc530161986"/>
      <w:bookmarkStart w:id="687" w:name="_Toc530162434"/>
      <w:bookmarkStart w:id="688" w:name="_Toc530152917"/>
      <w:bookmarkStart w:id="689" w:name="_Toc530162945"/>
      <w:bookmarkStart w:id="690" w:name="_Toc530162560"/>
      <w:bookmarkStart w:id="691" w:name="_Toc530162573"/>
      <w:bookmarkStart w:id="692" w:name="_Toc530152497"/>
      <w:bookmarkStart w:id="693" w:name="_Toc530153047"/>
      <w:bookmarkStart w:id="694" w:name="_Toc530152501"/>
      <w:bookmarkStart w:id="695" w:name="_Toc530162140"/>
      <w:bookmarkStart w:id="696" w:name="_Toc530152505"/>
      <w:bookmarkStart w:id="697" w:name="_Toc530161993"/>
      <w:bookmarkStart w:id="698" w:name="_Toc530152502"/>
      <w:bookmarkStart w:id="699" w:name="_Toc530162286"/>
      <w:bookmarkStart w:id="700" w:name="_Toc530161985"/>
      <w:bookmarkStart w:id="701" w:name="_Toc530162275"/>
      <w:bookmarkStart w:id="702" w:name="_Toc530152984"/>
      <w:bookmarkStart w:id="703" w:name="_Toc530162575"/>
      <w:bookmarkStart w:id="704" w:name="_Toc530162940"/>
      <w:bookmarkStart w:id="705" w:name="_Toc530152983"/>
      <w:bookmarkStart w:id="706" w:name="_Toc530152923"/>
      <w:bookmarkStart w:id="707" w:name="_Toc530162139"/>
      <w:bookmarkStart w:id="708" w:name="_Toc530162944"/>
      <w:bookmarkStart w:id="709" w:name="_Toc530156298"/>
      <w:bookmarkStart w:id="710" w:name="_Toc530162127"/>
      <w:bookmarkStart w:id="711" w:name="_Toc530162941"/>
      <w:bookmarkStart w:id="712" w:name="_Toc530156293"/>
      <w:bookmarkStart w:id="713" w:name="_Toc530162412"/>
      <w:bookmarkStart w:id="714" w:name="_Toc530156300"/>
      <w:bookmarkStart w:id="715" w:name="_Toc530153051"/>
      <w:bookmarkStart w:id="716" w:name="_Toc530162572"/>
      <w:bookmarkStart w:id="717" w:name="_Toc530156296"/>
      <w:bookmarkStart w:id="718" w:name="_Toc530152966"/>
      <w:bookmarkStart w:id="719" w:name="_Toc530162143"/>
      <w:bookmarkStart w:id="720" w:name="_Toc530162580"/>
      <w:bookmarkStart w:id="721" w:name="_Toc530152989"/>
      <w:bookmarkStart w:id="722" w:name="_Toc530152918"/>
      <w:bookmarkStart w:id="723" w:name="_Toc530153042"/>
      <w:bookmarkStart w:id="724" w:name="_Toc530162563"/>
      <w:bookmarkStart w:id="725" w:name="_Toc530161996"/>
      <w:bookmarkStart w:id="726" w:name="_Toc530161982"/>
      <w:bookmarkStart w:id="727" w:name="_Toc530152905"/>
      <w:bookmarkStart w:id="728" w:name="_Toc530162565"/>
      <w:bookmarkStart w:id="729" w:name="_Toc530162438"/>
      <w:bookmarkStart w:id="730" w:name="_Toc530152489"/>
      <w:bookmarkStart w:id="731" w:name="_Toc530153049"/>
      <w:bookmarkStart w:id="732" w:name="_Toc530162425"/>
      <w:bookmarkStart w:id="733" w:name="_Toc530162144"/>
      <w:bookmarkStart w:id="734" w:name="_Toc530152511"/>
      <w:bookmarkStart w:id="735" w:name="_Toc530162943"/>
      <w:bookmarkStart w:id="736" w:name="_Toc530162000"/>
      <w:bookmarkStart w:id="737" w:name="_Toc530162577"/>
      <w:bookmarkStart w:id="738" w:name="_Toc530162429"/>
      <w:bookmarkStart w:id="739" w:name="_Toc530162718"/>
      <w:bookmarkStart w:id="740" w:name="_Toc530162934"/>
      <w:bookmarkStart w:id="741" w:name="_Toc530162720"/>
      <w:bookmarkStart w:id="742" w:name="_Toc530162927"/>
      <w:bookmarkStart w:id="743" w:name="_Toc530162719"/>
      <w:bookmarkStart w:id="744" w:name="_Toc530162279"/>
      <w:bookmarkStart w:id="745" w:name="_Toc530152506"/>
      <w:bookmarkStart w:id="746" w:name="_Toc530162294"/>
      <w:bookmarkStart w:id="747" w:name="_Toc530152907"/>
      <w:bookmarkStart w:id="748" w:name="_Toc530162946"/>
      <w:bookmarkStart w:id="749" w:name="_Toc530162131"/>
      <w:bookmarkStart w:id="750" w:name="_Toc530156299"/>
      <w:bookmarkStart w:id="751" w:name="_Toc530152496"/>
      <w:bookmarkStart w:id="752" w:name="_Toc530162722"/>
      <w:bookmarkStart w:id="753" w:name="_Toc530162293"/>
      <w:bookmarkStart w:id="754" w:name="_Toc530162706"/>
      <w:bookmarkStart w:id="755" w:name="_Toc530162430"/>
      <w:bookmarkStart w:id="756" w:name="_Toc530152990"/>
      <w:bookmarkStart w:id="757" w:name="_Toc530162432"/>
      <w:bookmarkStart w:id="758" w:name="_Toc530152493"/>
      <w:bookmarkStart w:id="759" w:name="_Toc530152975"/>
      <w:bookmarkStart w:id="760" w:name="_Toc530162276"/>
      <w:bookmarkStart w:id="761" w:name="_Toc530162721"/>
      <w:bookmarkStart w:id="762" w:name="_Toc530162707"/>
      <w:bookmarkStart w:id="763" w:name="_Toc530156292"/>
      <w:bookmarkStart w:id="764" w:name="_Toc530162411"/>
      <w:bookmarkStart w:id="765" w:name="_Toc530162130"/>
      <w:bookmarkStart w:id="766" w:name="_Toc530152922"/>
      <w:bookmarkStart w:id="767" w:name="_Toc530156283"/>
      <w:bookmarkStart w:id="768" w:name="_Toc530162283"/>
      <w:bookmarkStart w:id="769" w:name="_Toc530162426"/>
      <w:bookmarkStart w:id="770" w:name="_Toc530162437"/>
      <w:bookmarkStart w:id="771" w:name="_Toc530162938"/>
      <w:bookmarkStart w:id="772" w:name="_Toc530152921"/>
      <w:bookmarkStart w:id="773" w:name="_Toc530153056"/>
      <w:bookmarkStart w:id="774" w:name="_Toc530162942"/>
      <w:bookmarkStart w:id="775" w:name="_Toc530161987"/>
      <w:bookmarkStart w:id="776" w:name="_Toc530161994"/>
      <w:bookmarkStart w:id="777" w:name="_Toc530161991"/>
      <w:bookmarkStart w:id="778" w:name="_Toc530152972"/>
      <w:bookmarkStart w:id="779" w:name="_Toc530162930"/>
      <w:bookmarkStart w:id="780" w:name="_Toc530156290"/>
      <w:bookmarkStart w:id="781" w:name="_Toc530162939"/>
      <w:bookmarkStart w:id="782" w:name="_Toc530162568"/>
      <w:bookmarkStart w:id="783" w:name="_Toc530152513"/>
      <w:bookmarkStart w:id="784" w:name="_Toc530162559"/>
      <w:bookmarkStart w:id="785" w:name="_Toc530162714"/>
      <w:bookmarkStart w:id="786" w:name="_Toc530156288"/>
      <w:bookmarkStart w:id="787" w:name="_Toc530162713"/>
      <w:bookmarkStart w:id="788" w:name="_Toc530162277"/>
      <w:bookmarkStart w:id="789" w:name="_Toc530161992"/>
      <w:bookmarkStart w:id="790" w:name="_Toc530162417"/>
      <w:bookmarkStart w:id="791" w:name="_Toc530162278"/>
      <w:bookmarkStart w:id="792" w:name="_Toc530152492"/>
      <w:bookmarkStart w:id="793" w:name="_Toc530153044"/>
      <w:bookmarkStart w:id="794" w:name="_Toc530162145"/>
      <w:bookmarkStart w:id="795" w:name="_Toc530162576"/>
      <w:bookmarkStart w:id="796" w:name="_Toc530152499"/>
      <w:bookmarkStart w:id="797" w:name="_Toc530162570"/>
      <w:bookmarkStart w:id="798" w:name="_Toc530161988"/>
      <w:bookmarkStart w:id="799" w:name="_Toc530153045"/>
      <w:bookmarkStart w:id="800" w:name="_Toc530162138"/>
      <w:bookmarkStart w:id="801" w:name="_Toc530153038"/>
      <w:bookmarkStart w:id="802" w:name="_Toc530156289"/>
      <w:bookmarkStart w:id="803" w:name="_Toc530162571"/>
      <w:bookmarkStart w:id="804" w:name="_Toc530162726"/>
      <w:bookmarkStart w:id="805" w:name="_Toc530162272"/>
      <w:bookmarkStart w:id="806" w:name="_Toc530153058"/>
      <w:bookmarkStart w:id="807" w:name="_Toc530162134"/>
      <w:bookmarkStart w:id="808" w:name="_Toc530162708"/>
      <w:bookmarkStart w:id="809" w:name="_Toc530152978"/>
      <w:bookmarkStart w:id="810" w:name="_Toc530162436"/>
      <w:bookmarkStart w:id="811" w:name="_Toc530162420"/>
      <w:bookmarkStart w:id="812" w:name="_Toc530162281"/>
      <w:bookmarkStart w:id="813" w:name="_Toc530153032"/>
      <w:bookmarkStart w:id="814" w:name="_Toc530152494"/>
      <w:bookmarkStart w:id="815" w:name="_Toc530152500"/>
      <w:bookmarkStart w:id="816" w:name="_Toc530156284"/>
      <w:bookmarkStart w:id="817" w:name="_Toc530162132"/>
      <w:bookmarkStart w:id="818" w:name="_Toc530153046"/>
      <w:bookmarkStart w:id="819" w:name="_Toc530162428"/>
      <w:bookmarkStart w:id="820" w:name="_Toc530162727"/>
      <w:bookmarkStart w:id="821" w:name="_Toc530152971"/>
      <w:bookmarkStart w:id="822" w:name="_Toc530162574"/>
      <w:bookmarkStart w:id="823" w:name="_Toc530152485"/>
      <w:bookmarkStart w:id="824" w:name="_Toc530162003"/>
      <w:bookmarkStart w:id="825" w:name="_Toc530162422"/>
      <w:bookmarkStart w:id="826" w:name="_Toc530162584"/>
      <w:bookmarkStart w:id="827" w:name="_Toc530162149"/>
      <w:bookmarkStart w:id="828" w:name="_Toc530152986"/>
      <w:bookmarkStart w:id="829" w:name="_Toc530162439"/>
      <w:bookmarkStart w:id="830" w:name="_Toc530162558"/>
      <w:bookmarkStart w:id="831" w:name="_Toc530156297"/>
      <w:bookmarkStart w:id="832" w:name="_Toc530153040"/>
      <w:bookmarkStart w:id="833" w:name="_Toc530153041"/>
      <w:bookmarkStart w:id="834" w:name="_Toc530162271"/>
      <w:bookmarkStart w:id="835" w:name="_Toc530156291"/>
      <w:bookmarkStart w:id="836" w:name="_Toc530161995"/>
      <w:bookmarkStart w:id="837" w:name="_Toc530152992"/>
      <w:bookmarkStart w:id="838" w:name="_Toc530152903"/>
      <w:bookmarkStart w:id="839" w:name="_Toc530162567"/>
      <w:bookmarkStart w:id="840" w:name="_Toc530153035"/>
      <w:bookmarkStart w:id="841" w:name="_Toc530153059"/>
      <w:bookmarkStart w:id="842" w:name="_Toc530152913"/>
      <w:bookmarkStart w:id="843" w:name="_Toc530161989"/>
      <w:bookmarkStart w:id="844" w:name="_Toc530162421"/>
      <w:bookmarkStart w:id="845" w:name="_Toc530152904"/>
      <w:bookmarkStart w:id="846" w:name="_Toc530161983"/>
      <w:bookmarkStart w:id="847" w:name="_Toc530162273"/>
      <w:bookmarkStart w:id="848" w:name="_Toc530162717"/>
      <w:bookmarkStart w:id="849" w:name="_Toc530162270"/>
      <w:bookmarkStart w:id="850" w:name="_Toc530161978"/>
      <w:bookmarkStart w:id="851" w:name="_Toc530162582"/>
      <w:bookmarkStart w:id="852" w:name="_Toc530162004"/>
      <w:bookmarkStart w:id="853" w:name="_Toc530152491"/>
      <w:bookmarkStart w:id="854" w:name="_Toc530152925"/>
      <w:bookmarkStart w:id="855" w:name="_Toc530152512"/>
      <w:bookmarkStart w:id="856" w:name="_Toc530162148"/>
      <w:bookmarkStart w:id="857" w:name="_Toc530162147"/>
      <w:bookmarkStart w:id="858" w:name="_Toc532394159"/>
      <w:bookmarkStart w:id="859" w:name="_Toc530162578"/>
      <w:bookmarkStart w:id="860" w:name="_Toc530156301"/>
      <w:bookmarkStart w:id="861" w:name="_Toc530152916"/>
      <w:bookmarkStart w:id="862" w:name="_Toc530162291"/>
      <w:bookmarkStart w:id="863" w:name="_Toc530162579"/>
      <w:bookmarkStart w:id="864" w:name="_Toc530152507"/>
      <w:bookmarkStart w:id="865" w:name="_Toc530152969"/>
      <w:bookmarkStart w:id="866" w:name="_Toc530162284"/>
      <w:bookmarkStart w:id="867" w:name="_Toc530162274"/>
      <w:bookmarkStart w:id="868" w:name="_Toc530152974"/>
      <w:bookmarkStart w:id="869" w:name="_Toc530162285"/>
      <w:bookmarkStart w:id="870" w:name="_Toc530156295"/>
      <w:bookmarkStart w:id="871" w:name="_Toc530152987"/>
      <w:bookmarkStart w:id="872" w:name="_Toc530162564"/>
      <w:bookmarkStart w:id="873" w:name="_Toc530162290"/>
      <w:bookmarkStart w:id="874" w:name="_Toc530152920"/>
      <w:bookmarkStart w:id="875" w:name="_Toc530162288"/>
      <w:bookmarkStart w:id="876" w:name="_Toc530162951"/>
      <w:bookmarkStart w:id="877" w:name="_Toc530152504"/>
      <w:bookmarkStart w:id="878" w:name="_Toc530162585"/>
      <w:bookmarkStart w:id="879" w:name="_Toc530162142"/>
      <w:bookmarkStart w:id="880" w:name="_Toc532393487"/>
      <w:bookmarkStart w:id="881" w:name="_Toc530153052"/>
      <w:bookmarkStart w:id="882" w:name="_Toc530152898"/>
      <w:bookmarkStart w:id="883" w:name="_Toc530162128"/>
      <w:bookmarkStart w:id="884" w:name="_Toc530162949"/>
      <w:bookmarkStart w:id="885" w:name="_Toc530162952"/>
      <w:bookmarkStart w:id="886" w:name="_Toc530161999"/>
      <w:bookmarkStart w:id="887" w:name="_Toc530162289"/>
      <w:bookmarkStart w:id="888" w:name="_Toc530152503"/>
      <w:bookmarkStart w:id="889" w:name="_Toc530152919"/>
      <w:bookmarkStart w:id="890" w:name="_Toc530162418"/>
      <w:bookmarkStart w:id="891" w:name="_Toc530153050"/>
      <w:bookmarkStart w:id="892" w:name="_Toc530162431"/>
      <w:bookmarkStart w:id="893" w:name="_Toc530153053"/>
      <w:bookmarkStart w:id="894" w:name="_Toc530162269"/>
      <w:bookmarkStart w:id="895" w:name="_Toc530152487"/>
      <w:bookmarkStart w:id="896" w:name="_Toc530156286"/>
      <w:bookmarkStart w:id="897" w:name="_Toc530156277"/>
      <w:bookmarkStart w:id="898" w:name="_Toc530162711"/>
      <w:bookmarkStart w:id="899" w:name="_Toc530162936"/>
      <w:bookmarkStart w:id="900" w:name="_Toc530162937"/>
      <w:bookmarkStart w:id="901" w:name="_Toc530161980"/>
      <w:bookmarkStart w:id="902" w:name="_Toc530162413"/>
      <w:bookmarkStart w:id="903" w:name="_Toc530162123"/>
      <w:bookmarkStart w:id="904" w:name="_Toc530162704"/>
      <w:bookmarkStart w:id="905" w:name="_Toc530162935"/>
      <w:bookmarkStart w:id="906" w:name="_Toc530162709"/>
      <w:bookmarkStart w:id="907" w:name="_Toc530162126"/>
      <w:bookmarkStart w:id="908" w:name="_Toc530162701"/>
      <w:bookmarkStart w:id="909" w:name="_Toc530162924"/>
      <w:bookmarkStart w:id="910" w:name="_Toc530161990"/>
      <w:bookmarkStart w:id="911" w:name="_Toc530152914"/>
      <w:bookmarkStart w:id="912" w:name="_Toc530162581"/>
      <w:bookmarkStart w:id="913" w:name="_Toc530162121"/>
      <w:bookmarkStart w:id="914" w:name="_Toc530161981"/>
      <w:bookmarkStart w:id="915" w:name="_Toc530152964"/>
      <w:bookmarkStart w:id="916" w:name="_Toc530162557"/>
      <w:bookmarkStart w:id="917" w:name="_Toc530162268"/>
      <w:bookmarkStart w:id="918" w:name="_Toc530156275"/>
      <w:bookmarkStart w:id="919" w:name="_Toc530162122"/>
      <w:bookmarkStart w:id="920" w:name="_Toc530162566"/>
      <w:bookmarkStart w:id="921" w:name="_Toc530162001"/>
      <w:bookmarkStart w:id="922" w:name="_Toc530153055"/>
      <w:bookmarkStart w:id="923" w:name="_Toc530153034"/>
      <w:bookmarkStart w:id="924" w:name="_Toc530161984"/>
      <w:bookmarkStart w:id="925" w:name="_Toc530152924"/>
      <w:bookmarkStart w:id="926" w:name="_Toc530162933"/>
      <w:bookmarkStart w:id="927" w:name="_Toc530162569"/>
      <w:bookmarkStart w:id="928" w:name="_Toc530162947"/>
      <w:bookmarkStart w:id="929" w:name="_Toc530156280"/>
      <w:bookmarkStart w:id="930" w:name="_Toc530152970"/>
      <w:bookmarkStart w:id="931" w:name="_Toc530162129"/>
      <w:bookmarkStart w:id="932" w:name="_Toc530162267"/>
      <w:bookmarkStart w:id="933" w:name="_Toc530156287"/>
      <w:bookmarkStart w:id="934" w:name="_Toc530162561"/>
      <w:bookmarkStart w:id="935" w:name="_Toc530152490"/>
      <w:bookmarkStart w:id="936" w:name="_Toc530162948"/>
      <w:bookmarkStart w:id="937" w:name="_Toc530162931"/>
      <w:bookmarkStart w:id="938" w:name="_Toc530152988"/>
      <w:bookmarkStart w:id="939" w:name="_Toc530156302"/>
      <w:bookmarkStart w:id="940" w:name="_Toc530162702"/>
      <w:bookmarkStart w:id="941" w:name="_Toc530153057"/>
      <w:bookmarkStart w:id="942" w:name="_Toc530156303"/>
      <w:bookmarkStart w:id="943" w:name="_Toc530162137"/>
      <w:bookmarkStart w:id="944" w:name="_Toc530162133"/>
      <w:bookmarkStart w:id="945" w:name="_Toc530152973"/>
      <w:bookmarkStart w:id="946" w:name="_Toc530156281"/>
      <w:bookmarkStart w:id="947" w:name="_Toc530152991"/>
      <w:bookmarkStart w:id="948" w:name="_Toc530162705"/>
      <w:bookmarkStart w:id="949" w:name="_Toc530162723"/>
      <w:bookmarkStart w:id="950" w:name="_Toc530152976"/>
      <w:bookmarkStart w:id="951" w:name="_Toc530152897"/>
      <w:bookmarkStart w:id="952" w:name="_Toc530162141"/>
      <w:bookmarkStart w:id="953" w:name="_Toc530152980"/>
      <w:bookmarkStart w:id="954" w:name="_Toc530152510"/>
      <w:bookmarkStart w:id="955" w:name="_Toc530152981"/>
      <w:bookmarkStart w:id="956" w:name="_Toc530152985"/>
      <w:bookmarkStart w:id="957" w:name="_Toc530162005"/>
      <w:bookmarkStart w:id="958" w:name="_Toc530162433"/>
      <w:bookmarkStart w:id="959" w:name="_Toc530162715"/>
      <w:bookmarkStart w:id="960" w:name="_Toc530152967"/>
      <w:bookmarkStart w:id="961" w:name="_Toc530162280"/>
      <w:bookmarkStart w:id="962" w:name="_Toc530152902"/>
      <w:bookmarkStart w:id="963" w:name="_Toc530152965"/>
      <w:bookmarkStart w:id="964" w:name="_Toc530152977"/>
      <w:bookmarkStart w:id="965" w:name="_Toc530162423"/>
      <w:bookmarkStart w:id="966" w:name="_Toc530152911"/>
      <w:bookmarkStart w:id="967" w:name="_Toc530162703"/>
      <w:bookmarkStart w:id="968" w:name="_Toc530153043"/>
      <w:bookmarkStart w:id="969" w:name="_Toc530162414"/>
      <w:bookmarkStart w:id="970" w:name="_Toc530162929"/>
      <w:bookmarkStart w:id="971" w:name="_Toc530161998"/>
      <w:bookmarkStart w:id="972" w:name="_Toc530162928"/>
      <w:bookmarkStart w:id="973" w:name="_Toc530156294"/>
      <w:bookmarkStart w:id="974" w:name="_Toc530162424"/>
      <w:bookmarkStart w:id="975" w:name="_Toc530152899"/>
      <w:bookmarkStart w:id="976" w:name="_Toc530152488"/>
      <w:bookmarkStart w:id="977" w:name="_Toc530152909"/>
      <w:bookmarkStart w:id="978" w:name="_Toc530153039"/>
      <w:bookmarkStart w:id="979" w:name="_Toc530153033"/>
      <w:bookmarkStart w:id="980" w:name="_Toc530162266"/>
      <w:bookmarkStart w:id="981" w:name="_Toc530153037"/>
      <w:bookmarkStart w:id="982" w:name="_Toc530156278"/>
      <w:bookmarkStart w:id="983" w:name="_Toc530156279"/>
      <w:bookmarkStart w:id="984" w:name="_Toc530152908"/>
      <w:bookmarkStart w:id="985" w:name="_Toc530152486"/>
      <w:bookmarkStart w:id="986" w:name="_Toc530152912"/>
      <w:bookmarkStart w:id="987" w:name="_Toc530152968"/>
      <w:bookmarkStart w:id="988" w:name="_Toc530162416"/>
      <w:bookmarkStart w:id="989" w:name="_Toc530162562"/>
      <w:bookmarkStart w:id="990" w:name="_Toc530162926"/>
      <w:bookmarkStart w:id="991" w:name="_Toc530162124"/>
      <w:bookmarkStart w:id="992" w:name="_Toc530162710"/>
      <w:bookmarkStart w:id="993" w:name="_Toc530161979"/>
      <w:bookmarkStart w:id="994" w:name="_Toc530152900"/>
      <w:bookmarkStart w:id="995" w:name="_Toc530162415"/>
      <w:bookmarkStart w:id="996" w:name="_Toc530152901"/>
      <w:bookmarkStart w:id="997" w:name="_Toc530156285"/>
      <w:bookmarkStart w:id="998" w:name="_Toc530161997"/>
      <w:bookmarkStart w:id="999" w:name="_Toc530162700"/>
      <w:bookmarkStart w:id="1000" w:name="_Toc530153031"/>
      <w:bookmarkStart w:id="1001" w:name="_Toc530162135"/>
      <w:bookmarkStart w:id="1002" w:name="_Toc530153054"/>
      <w:bookmarkStart w:id="1003" w:name="_Toc530162287"/>
      <w:bookmarkStart w:id="1004" w:name="_Toc530153036"/>
      <w:bookmarkStart w:id="1005" w:name="_Toc530152508"/>
      <w:bookmarkStart w:id="1006" w:name="_Toc530162712"/>
      <w:bookmarkStart w:id="1007" w:name="_Toc530152906"/>
      <w:bookmarkStart w:id="1008" w:name="_Toc530152979"/>
      <w:bookmarkStart w:id="1009" w:name="_Toc530152910"/>
      <w:bookmarkStart w:id="1010" w:name="_Toc530162925"/>
      <w:bookmarkStart w:id="1011" w:name="_Toc530162136"/>
      <w:bookmarkStart w:id="1012" w:name="_Toc530162583"/>
      <w:bookmarkStart w:id="1013" w:name="_Toc530162146"/>
      <w:bookmarkStart w:id="1014" w:name="_Toc530156276"/>
      <w:bookmarkStart w:id="1015" w:name="_Toc530162699"/>
      <w:bookmarkStart w:id="1016" w:name="_Toc530162724"/>
      <w:bookmarkStart w:id="1017" w:name="_Toc530162950"/>
      <w:bookmarkStart w:id="1018" w:name="_Toc530162932"/>
      <w:bookmarkStart w:id="1019" w:name="_Toc1430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r>
        <w:rPr>
          <w:rFonts w:hint="eastAsia"/>
        </w:rPr>
        <w:t>第六节  听证与复核</w:t>
      </w:r>
      <w:bookmarkEnd w:id="1019"/>
    </w:p>
    <w:p w14:paraId="24FFB7F8" w14:textId="77777777" w:rsidR="000C29B8" w:rsidRDefault="00000000">
      <w:pPr>
        <w:numPr>
          <w:ilvl w:val="2"/>
          <w:numId w:val="51"/>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上市公司收到本所发出的终止上市事先告知书后，可以在5个交易日内，以书面形式向本所提出听证要求，并载明具体事项及理由。</w:t>
      </w:r>
    </w:p>
    <w:p w14:paraId="01415C18"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上市公司对终止上市有异议的，可以在收到本所</w:t>
      </w:r>
      <w:r>
        <w:rPr>
          <w:rFonts w:ascii="仿宋_GB2312" w:eastAsia="仿宋_GB2312" w:hAnsi="黑体"/>
          <w:sz w:val="32"/>
          <w:szCs w:val="32"/>
        </w:rPr>
        <w:t>发出的终止上市</w:t>
      </w:r>
      <w:r>
        <w:rPr>
          <w:rFonts w:ascii="仿宋_GB2312" w:eastAsia="仿宋_GB2312" w:hAnsi="黑体" w:hint="eastAsia"/>
          <w:sz w:val="32"/>
          <w:szCs w:val="32"/>
        </w:rPr>
        <w:t>事先</w:t>
      </w:r>
      <w:r>
        <w:rPr>
          <w:rFonts w:ascii="仿宋_GB2312" w:eastAsia="仿宋_GB2312" w:hAnsi="黑体"/>
          <w:sz w:val="32"/>
          <w:szCs w:val="32"/>
        </w:rPr>
        <w:t>告知书后</w:t>
      </w:r>
      <w:r>
        <w:rPr>
          <w:rFonts w:ascii="仿宋_GB2312" w:eastAsia="仿宋_GB2312" w:hAnsi="黑体" w:hint="eastAsia"/>
          <w:sz w:val="32"/>
          <w:szCs w:val="32"/>
        </w:rPr>
        <w:t>10个</w:t>
      </w:r>
      <w:r>
        <w:rPr>
          <w:rFonts w:ascii="仿宋_GB2312" w:eastAsia="仿宋_GB2312" w:hAnsi="黑体"/>
          <w:sz w:val="32"/>
          <w:szCs w:val="32"/>
        </w:rPr>
        <w:t>交易日</w:t>
      </w:r>
      <w:r>
        <w:rPr>
          <w:rFonts w:ascii="仿宋_GB2312" w:eastAsia="仿宋_GB2312" w:hAnsi="黑体" w:hint="eastAsia"/>
          <w:sz w:val="32"/>
          <w:szCs w:val="32"/>
        </w:rPr>
        <w:t>内，向本所提交相关书面陈述和申辩，并提供相关文件。</w:t>
      </w:r>
    </w:p>
    <w:p w14:paraId="4376C4A2"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上市公司未在本条规定期限内提出听证要求、书面陈述或者申辩的，视为放弃相应权利。</w:t>
      </w:r>
    </w:p>
    <w:p w14:paraId="3E62525F"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上市公司在本条规定期限内提出听证要求的，由本所上市委员会按照有关规定组织召开听证会。</w:t>
      </w:r>
    </w:p>
    <w:p w14:paraId="5CFECB72" w14:textId="77777777" w:rsidR="000C29B8" w:rsidRDefault="00000000">
      <w:pPr>
        <w:numPr>
          <w:ilvl w:val="2"/>
          <w:numId w:val="51"/>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上市委员会组织召开听证和审议期间，可以要求上市公司、证券公司和证券服务机构提供补充材料，提供补充材料期间不计入听证及审议期限。</w:t>
      </w:r>
    </w:p>
    <w:p w14:paraId="35CFB273"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上市公司和相关机构提供补充材料的期限累计不得超过30个交易日。公司和相关机构未按本所要求在规定期限内提交补充材料的，本所上市委员会继续进行听证或者审议。</w:t>
      </w:r>
    </w:p>
    <w:p w14:paraId="7BFDBE0A"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本所可以自行或委托相关机构就上市公司有关情况进行调查核实，并将核查结果提交上市委员会审议。调查核实期间不计</w:t>
      </w:r>
      <w:proofErr w:type="gramStart"/>
      <w:r>
        <w:rPr>
          <w:rFonts w:ascii="仿宋_GB2312" w:eastAsia="仿宋_GB2312" w:hAnsi="黑体" w:hint="eastAsia"/>
          <w:sz w:val="32"/>
          <w:szCs w:val="32"/>
        </w:rPr>
        <w:t>入审议</w:t>
      </w:r>
      <w:proofErr w:type="gramEnd"/>
      <w:r>
        <w:rPr>
          <w:rFonts w:ascii="仿宋_GB2312" w:eastAsia="仿宋_GB2312" w:hAnsi="黑体" w:hint="eastAsia"/>
          <w:sz w:val="32"/>
          <w:szCs w:val="32"/>
        </w:rPr>
        <w:t>期限。</w:t>
      </w:r>
    </w:p>
    <w:p w14:paraId="507084C9" w14:textId="77777777" w:rsidR="000C29B8" w:rsidRDefault="00000000">
      <w:pPr>
        <w:numPr>
          <w:ilvl w:val="2"/>
          <w:numId w:val="51"/>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上市公司可以在收到终止上市决定或者本所公告终止</w:t>
      </w:r>
      <w:r>
        <w:rPr>
          <w:rFonts w:ascii="仿宋_GB2312" w:eastAsia="仿宋_GB2312" w:hAnsi="黑体"/>
          <w:sz w:val="32"/>
          <w:szCs w:val="32"/>
        </w:rPr>
        <w:t>上市</w:t>
      </w:r>
      <w:r>
        <w:rPr>
          <w:rFonts w:ascii="仿宋_GB2312" w:eastAsia="仿宋_GB2312" w:hAnsi="黑体" w:hint="eastAsia"/>
          <w:sz w:val="32"/>
          <w:szCs w:val="32"/>
        </w:rPr>
        <w:t>决定之日（以在先者为准）起5个交易日内，以书面形式向本所申请复核。</w:t>
      </w:r>
    </w:p>
    <w:p w14:paraId="07A2F64E"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公司应当在向本所提出复核申请之日的次一交易日披露有关内容。</w:t>
      </w:r>
    </w:p>
    <w:p w14:paraId="11CFB54D" w14:textId="77777777" w:rsidR="000C29B8" w:rsidRDefault="00000000">
      <w:pPr>
        <w:numPr>
          <w:ilvl w:val="2"/>
          <w:numId w:val="51"/>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上市公司根据前条规定向本所申请复核，应当提交下列文件：</w:t>
      </w:r>
    </w:p>
    <w:p w14:paraId="686B0FD4"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（一）复核申请书；</w:t>
      </w:r>
    </w:p>
    <w:p w14:paraId="6E4B3571"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（二）证券</w:t>
      </w:r>
      <w:r>
        <w:rPr>
          <w:rFonts w:ascii="仿宋_GB2312" w:eastAsia="仿宋_GB2312" w:hAnsi="黑体"/>
          <w:sz w:val="32"/>
          <w:szCs w:val="32"/>
        </w:rPr>
        <w:t>公司</w:t>
      </w:r>
      <w:r>
        <w:rPr>
          <w:rFonts w:ascii="仿宋_GB2312" w:eastAsia="仿宋_GB2312" w:hAnsi="黑体" w:hint="eastAsia"/>
          <w:sz w:val="32"/>
          <w:szCs w:val="32"/>
        </w:rPr>
        <w:t>就申请复核事项出具的意见书；</w:t>
      </w:r>
    </w:p>
    <w:p w14:paraId="564E32CD"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（三）律师事务所就申请复核事项出具的法律意见书；</w:t>
      </w:r>
    </w:p>
    <w:p w14:paraId="10FFBAF7"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（四）本所要求的其他文件。</w:t>
      </w:r>
    </w:p>
    <w:p w14:paraId="3DB45D10" w14:textId="77777777" w:rsidR="000C29B8" w:rsidRDefault="00000000">
      <w:pPr>
        <w:numPr>
          <w:ilvl w:val="2"/>
          <w:numId w:val="51"/>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本所在收到申请人提交的复核申请文件之日后的5个交易日内，</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是否受理的决定并通知申请人。</w:t>
      </w:r>
    </w:p>
    <w:p w14:paraId="4B6305A7"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未能按照前条规定提交复核申请文件的，本所不受理其复核申请。</w:t>
      </w:r>
    </w:p>
    <w:p w14:paraId="30DCC584"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申请人应当在收到本所是否受理其复核申请的决定后，及时披露决定的有关内容并提示相关风险。</w:t>
      </w:r>
    </w:p>
    <w:p w14:paraId="2092175F" w14:textId="77777777" w:rsidR="000C29B8" w:rsidRDefault="00000000">
      <w:pPr>
        <w:numPr>
          <w:ilvl w:val="2"/>
          <w:numId w:val="51"/>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本所复核委员会根据《上海证券交易所复核实施办法》的规定进行复核。</w:t>
      </w:r>
    </w:p>
    <w:p w14:paraId="1F9756C1"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复核委员会审议期间，可以要求上市公司、证券</w:t>
      </w:r>
      <w:r>
        <w:rPr>
          <w:rFonts w:ascii="仿宋_GB2312" w:eastAsia="仿宋_GB2312" w:hAnsi="黑体"/>
          <w:sz w:val="32"/>
          <w:szCs w:val="32"/>
        </w:rPr>
        <w:t>公司</w:t>
      </w:r>
      <w:r>
        <w:rPr>
          <w:rFonts w:ascii="仿宋_GB2312" w:eastAsia="仿宋_GB2312" w:hAnsi="黑体" w:hint="eastAsia"/>
          <w:sz w:val="32"/>
          <w:szCs w:val="32"/>
        </w:rPr>
        <w:t>和证券服务机构提供补充材料，提供补充材料期间不计入听证及审议期限。</w:t>
      </w:r>
    </w:p>
    <w:p w14:paraId="0BE7E948"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公司和相关机构提供补充材料的期限累计不得超过30个交易日。公司和相关机构未按本所要求在规定期限内提交补充材料的，本所复核委员会继续进行听证或者审议。</w:t>
      </w:r>
    </w:p>
    <w:p w14:paraId="5AED275A"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本所可以自行或委托相关机构就公司有关情况进行调查核实，并将核查结果提交复核委员会审议。调查核实期间不计</w:t>
      </w:r>
      <w:proofErr w:type="gramStart"/>
      <w:r>
        <w:rPr>
          <w:rFonts w:ascii="仿宋_GB2312" w:eastAsia="仿宋_GB2312" w:hAnsi="黑体" w:hint="eastAsia"/>
          <w:sz w:val="32"/>
          <w:szCs w:val="32"/>
        </w:rPr>
        <w:t>入审议</w:t>
      </w:r>
      <w:proofErr w:type="gramEnd"/>
      <w:r>
        <w:rPr>
          <w:rFonts w:ascii="仿宋_GB2312" w:eastAsia="仿宋_GB2312" w:hAnsi="黑体" w:hint="eastAsia"/>
          <w:sz w:val="32"/>
          <w:szCs w:val="32"/>
        </w:rPr>
        <w:t>期限。</w:t>
      </w:r>
    </w:p>
    <w:p w14:paraId="570B8A60" w14:textId="77777777" w:rsidR="000C29B8" w:rsidRDefault="00000000">
      <w:pPr>
        <w:numPr>
          <w:ilvl w:val="2"/>
          <w:numId w:val="51"/>
        </w:numPr>
        <w:tabs>
          <w:tab w:val="left" w:pos="1560"/>
          <w:tab w:val="left" w:pos="1843"/>
          <w:tab w:val="left" w:pos="1985"/>
          <w:tab w:val="left" w:pos="2127"/>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本所依据复核委员会的审核意见，</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是否维持终止上市的决定。</w:t>
      </w:r>
    </w:p>
    <w:p w14:paraId="70C8672E" w14:textId="77777777" w:rsidR="000C29B8" w:rsidRDefault="00000000">
      <w:pPr>
        <w:tabs>
          <w:tab w:val="left" w:pos="1560"/>
          <w:tab w:val="left" w:pos="1843"/>
          <w:tab w:val="left" w:pos="1985"/>
          <w:tab w:val="left" w:pos="2127"/>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申请人应当在收到本所的复核决定后，及时披露决定的有关内容。</w:t>
      </w:r>
    </w:p>
    <w:p w14:paraId="532B358A" w14:textId="77777777" w:rsidR="000C29B8" w:rsidRDefault="00000000">
      <w:pPr>
        <w:pStyle w:val="23"/>
      </w:pPr>
      <w:bookmarkStart w:id="1020" w:name="_Toc13292"/>
      <w:r>
        <w:rPr>
          <w:rFonts w:hint="eastAsia"/>
        </w:rPr>
        <w:lastRenderedPageBreak/>
        <w:t>第七节  退市整理期</w:t>
      </w:r>
      <w:bookmarkEnd w:id="1020"/>
    </w:p>
    <w:p w14:paraId="3BB1C347" w14:textId="77777777" w:rsidR="000C29B8" w:rsidRDefault="00000000">
      <w:pPr>
        <w:pStyle w:val="afa"/>
        <w:numPr>
          <w:ilvl w:val="0"/>
          <w:numId w:val="52"/>
        </w:numPr>
        <w:tabs>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t xml:space="preserve"> 上市公司股票被本所根据本章第二节、第四节、第五节的规定</w:t>
      </w:r>
      <w:proofErr w:type="gramStart"/>
      <w:r>
        <w:rPr>
          <w:rFonts w:ascii="仿宋_GB2312" w:hAnsi="黑体" w:hint="eastAsia"/>
          <w:sz w:val="32"/>
          <w:szCs w:val="32"/>
        </w:rPr>
        <w:t>作出</w:t>
      </w:r>
      <w:proofErr w:type="gramEnd"/>
      <w:r>
        <w:rPr>
          <w:rFonts w:ascii="仿宋_GB2312" w:hAnsi="黑体" w:hint="eastAsia"/>
          <w:sz w:val="32"/>
          <w:szCs w:val="32"/>
        </w:rPr>
        <w:t>终止上市决定后，自本所公告终止上市决定之日后5个交易日届满的次一交易日复牌，进入退市整理期交易</w:t>
      </w:r>
      <w:r>
        <w:rPr>
          <w:rFonts w:ascii="仿宋_GB2312" w:hAnsi="黑体"/>
          <w:kern w:val="2"/>
          <w:sz w:val="32"/>
          <w:szCs w:val="32"/>
        </w:rPr>
        <w:t>。</w:t>
      </w:r>
    </w:p>
    <w:p w14:paraId="2D9D53F6" w14:textId="77777777" w:rsidR="000C29B8" w:rsidRDefault="00000000">
      <w:pPr>
        <w:pStyle w:val="afa"/>
        <w:tabs>
          <w:tab w:val="left" w:pos="1560"/>
        </w:tabs>
        <w:snapToGrid w:val="0"/>
        <w:spacing w:line="560" w:lineRule="exact"/>
        <w:ind w:left="640" w:firstLineChars="0" w:firstLine="0"/>
        <w:rPr>
          <w:rFonts w:ascii="仿宋_GB2312" w:hAnsi="黑体"/>
          <w:sz w:val="32"/>
          <w:szCs w:val="32"/>
        </w:rPr>
      </w:pPr>
      <w:r>
        <w:rPr>
          <w:rFonts w:ascii="仿宋_GB2312" w:hAnsi="黑体" w:hint="eastAsia"/>
          <w:sz w:val="32"/>
          <w:szCs w:val="32"/>
        </w:rPr>
        <w:t>退市整理股票的简称前冠以“退市”标识。</w:t>
      </w:r>
    </w:p>
    <w:p w14:paraId="07AABDB1"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上市公司处于破产重整进程，且经法院或者破产管理人认定，如公司股票进入退市整理期交易，将与破产程序或者法院批准的公司重整计划的执行存在冲突的，公司股票可以不进入退市整理期交易。</w:t>
      </w:r>
    </w:p>
    <w:p w14:paraId="3C3BE10E" w14:textId="77777777" w:rsidR="000C29B8" w:rsidRDefault="00000000">
      <w:pPr>
        <w:pStyle w:val="afa"/>
        <w:numPr>
          <w:ilvl w:val="0"/>
          <w:numId w:val="52"/>
        </w:numPr>
        <w:tabs>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t xml:space="preserve"> 退市整理期的交易期限为15个交易日。公司股票在退市整理期内全天停牌的，停牌期间</w:t>
      </w:r>
      <w:proofErr w:type="gramStart"/>
      <w:r>
        <w:rPr>
          <w:rFonts w:ascii="仿宋_GB2312" w:hAnsi="黑体" w:hint="eastAsia"/>
          <w:sz w:val="32"/>
          <w:szCs w:val="32"/>
        </w:rPr>
        <w:t>不计入退市</w:t>
      </w:r>
      <w:proofErr w:type="gramEnd"/>
      <w:r>
        <w:rPr>
          <w:rFonts w:ascii="仿宋_GB2312" w:hAnsi="黑体" w:hint="eastAsia"/>
          <w:sz w:val="32"/>
          <w:szCs w:val="32"/>
        </w:rPr>
        <w:t>整理期，但停牌天数累计不得超过5个交易日。</w:t>
      </w:r>
    </w:p>
    <w:p w14:paraId="6035A0F0" w14:textId="77777777" w:rsidR="000C29B8" w:rsidRDefault="00000000">
      <w:pPr>
        <w:tabs>
          <w:tab w:val="left" w:pos="1560"/>
        </w:tabs>
        <w:snapToGrid w:val="0"/>
        <w:spacing w:line="560" w:lineRule="exact"/>
        <w:ind w:firstLineChars="200" w:firstLine="640"/>
        <w:rPr>
          <w:rFonts w:ascii="仿宋_GB2312" w:eastAsia="仿宋_GB2312" w:hAnsi="仿宋" w:cs="Arial"/>
          <w:sz w:val="32"/>
          <w:szCs w:val="32"/>
        </w:rPr>
      </w:pPr>
      <w:r>
        <w:rPr>
          <w:rFonts w:ascii="仿宋_GB2312" w:eastAsia="仿宋_GB2312" w:hAnsi="仿宋" w:cs="Arial" w:hint="eastAsia"/>
          <w:sz w:val="32"/>
          <w:szCs w:val="32"/>
        </w:rPr>
        <w:t>累计停牌达到5个交易日后，本所不再接受公司的停牌申请；公司未在累计停牌期满前申请复牌的，本所于停牌期满后的次一交易日恢复公司股票交易。</w:t>
      </w:r>
    </w:p>
    <w:p w14:paraId="046C02A3"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仿宋" w:cs="Arial" w:hint="eastAsia"/>
          <w:sz w:val="32"/>
          <w:szCs w:val="32"/>
        </w:rPr>
        <w:t>公司股票进入</w:t>
      </w:r>
      <w:r>
        <w:rPr>
          <w:rFonts w:ascii="仿宋_GB2312" w:eastAsia="仿宋_GB2312" w:hAnsi="仿宋" w:cs="Arial"/>
          <w:sz w:val="32"/>
          <w:szCs w:val="32"/>
        </w:rPr>
        <w:t>退市整理期</w:t>
      </w:r>
      <w:r>
        <w:rPr>
          <w:rFonts w:ascii="仿宋_GB2312" w:eastAsia="仿宋_GB2312" w:hAnsi="仿宋" w:cs="Arial" w:hint="eastAsia"/>
          <w:sz w:val="32"/>
          <w:szCs w:val="32"/>
        </w:rPr>
        <w:t>首日</w:t>
      </w:r>
      <w:r>
        <w:rPr>
          <w:rFonts w:ascii="仿宋_GB2312" w:eastAsia="仿宋_GB2312" w:hAnsi="仿宋" w:cs="Arial"/>
          <w:sz w:val="32"/>
          <w:szCs w:val="32"/>
        </w:rPr>
        <w:t>，</w:t>
      </w:r>
      <w:r>
        <w:rPr>
          <w:rFonts w:ascii="仿宋_GB2312" w:eastAsia="仿宋_GB2312" w:hAnsi="仿宋" w:cs="Arial" w:hint="eastAsia"/>
          <w:sz w:val="32"/>
          <w:szCs w:val="32"/>
        </w:rPr>
        <w:t>不设价格涨跌幅限制。</w:t>
      </w:r>
    </w:p>
    <w:p w14:paraId="3EADECD3" w14:textId="77777777" w:rsidR="000C29B8" w:rsidRDefault="00000000">
      <w:pPr>
        <w:pStyle w:val="afa"/>
        <w:numPr>
          <w:ilvl w:val="0"/>
          <w:numId w:val="52"/>
        </w:numPr>
        <w:tabs>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t xml:space="preserve"> 上市公司有限</w:t>
      </w:r>
      <w:proofErr w:type="gramStart"/>
      <w:r>
        <w:rPr>
          <w:rFonts w:ascii="仿宋_GB2312" w:hAnsi="黑体" w:hint="eastAsia"/>
          <w:sz w:val="32"/>
          <w:szCs w:val="32"/>
        </w:rPr>
        <w:t>售条件</w:t>
      </w:r>
      <w:proofErr w:type="gramEnd"/>
      <w:r>
        <w:rPr>
          <w:rFonts w:ascii="仿宋_GB2312" w:hAnsi="黑体" w:hint="eastAsia"/>
          <w:sz w:val="32"/>
          <w:szCs w:val="32"/>
        </w:rPr>
        <w:t>股份的限售期限在退市整理期间连续计算。限售期限未届满的，相关股份在退市整理期内不得转让。</w:t>
      </w:r>
    </w:p>
    <w:p w14:paraId="31632AAD" w14:textId="77777777" w:rsidR="000C29B8" w:rsidRDefault="00000000">
      <w:pPr>
        <w:pStyle w:val="afa"/>
        <w:numPr>
          <w:ilvl w:val="0"/>
          <w:numId w:val="52"/>
        </w:numPr>
        <w:tabs>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t xml:space="preserve"> 上市公司股票进入退市整理期的，公司及相关信息披露义务人仍应当遵守法律法规、本规则及本所有关规定，履行信息披露及相关义务。</w:t>
      </w:r>
    </w:p>
    <w:p w14:paraId="44690863"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上市公司未按本规则的规定履行相关义务的，本所将依</w:t>
      </w:r>
      <w:r>
        <w:rPr>
          <w:rFonts w:ascii="仿宋_GB2312" w:eastAsia="仿宋_GB2312" w:hAnsi="黑体" w:hint="eastAsia"/>
          <w:sz w:val="32"/>
          <w:szCs w:val="32"/>
        </w:rPr>
        <w:lastRenderedPageBreak/>
        <w:t>据本规则的规定对有关责任人予以惩戒。</w:t>
      </w:r>
    </w:p>
    <w:p w14:paraId="0C739A21" w14:textId="77777777" w:rsidR="000C29B8" w:rsidRDefault="00000000">
      <w:pPr>
        <w:pStyle w:val="afa"/>
        <w:numPr>
          <w:ilvl w:val="0"/>
          <w:numId w:val="52"/>
        </w:numPr>
        <w:tabs>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t xml:space="preserve"> 上市公司应当在股票终止上市公告中，同时披露其股票进入退市整理期交易相关情况。</w:t>
      </w:r>
    </w:p>
    <w:p w14:paraId="49ECA780" w14:textId="77777777" w:rsidR="000C29B8" w:rsidRDefault="00000000">
      <w:pPr>
        <w:pStyle w:val="afa"/>
        <w:numPr>
          <w:ilvl w:val="0"/>
          <w:numId w:val="52"/>
        </w:numPr>
        <w:tabs>
          <w:tab w:val="left" w:pos="1560"/>
        </w:tabs>
        <w:snapToGrid w:val="0"/>
        <w:spacing w:line="560" w:lineRule="exact"/>
        <w:ind w:left="0" w:firstLine="640"/>
        <w:rPr>
          <w:rFonts w:ascii="仿宋_GB2312" w:hAnsi="黑体"/>
          <w:sz w:val="32"/>
          <w:szCs w:val="32"/>
        </w:rPr>
      </w:pPr>
      <w:r>
        <w:rPr>
          <w:rFonts w:ascii="仿宋_GB2312" w:hAnsi="黑体"/>
          <w:sz w:val="32"/>
          <w:szCs w:val="32"/>
        </w:rPr>
        <w:t xml:space="preserve"> </w:t>
      </w:r>
      <w:r>
        <w:rPr>
          <w:rFonts w:ascii="仿宋_GB2312" w:hAnsi="黑体" w:hint="eastAsia"/>
          <w:sz w:val="32"/>
          <w:szCs w:val="32"/>
        </w:rPr>
        <w:t>上市公司应当于退市整理期交易</w:t>
      </w:r>
      <w:r>
        <w:rPr>
          <w:rFonts w:ascii="仿宋_GB2312" w:hAnsi="黑体"/>
          <w:sz w:val="32"/>
          <w:szCs w:val="32"/>
        </w:rPr>
        <w:t>首日</w:t>
      </w:r>
      <w:r>
        <w:rPr>
          <w:rFonts w:ascii="仿宋_GB2312" w:hAnsi="黑体" w:hint="eastAsia"/>
          <w:sz w:val="32"/>
          <w:szCs w:val="32"/>
        </w:rPr>
        <w:t>，发布公司股票已被本所</w:t>
      </w:r>
      <w:proofErr w:type="gramStart"/>
      <w:r>
        <w:rPr>
          <w:rFonts w:ascii="仿宋_GB2312" w:hAnsi="黑体" w:hint="eastAsia"/>
          <w:sz w:val="32"/>
          <w:szCs w:val="32"/>
        </w:rPr>
        <w:t>作出</w:t>
      </w:r>
      <w:proofErr w:type="gramEnd"/>
      <w:r>
        <w:rPr>
          <w:rFonts w:ascii="仿宋_GB2312" w:hAnsi="黑体" w:hint="eastAsia"/>
          <w:sz w:val="32"/>
          <w:szCs w:val="32"/>
        </w:rPr>
        <w:t>终止上市决定的风险提示公告，说明公司股票进入退市整理期的起始日和终止日等事项。</w:t>
      </w:r>
    </w:p>
    <w:p w14:paraId="16E2A63B"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上市公司应当在退市整理期前10个交易日内，每5个交易日发布一次股票将被终止上市的风险提示公告，在最后5个交易日内每日发布一次股票将被终止上市的风险提示公告。</w:t>
      </w:r>
    </w:p>
    <w:p w14:paraId="100FD8EA" w14:textId="77777777" w:rsidR="000C29B8" w:rsidRDefault="00000000">
      <w:pPr>
        <w:pStyle w:val="afa"/>
        <w:numPr>
          <w:ilvl w:val="0"/>
          <w:numId w:val="52"/>
        </w:numPr>
        <w:tabs>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t xml:space="preserve"> 退市整理股票在一段时期内偏离同期可比指数涨跌幅较大，且期间上市公司未有重大事项公告的，本所可以要求上市公司进行停牌核查。上市公司应当对公司信息披露的情况和相关市场传言等进行核查，并及时予以公告。</w:t>
      </w:r>
    </w:p>
    <w:p w14:paraId="4B013451" w14:textId="77777777" w:rsidR="000C29B8" w:rsidRDefault="00000000">
      <w:pPr>
        <w:pStyle w:val="afa"/>
        <w:numPr>
          <w:ilvl w:val="0"/>
          <w:numId w:val="52"/>
        </w:numPr>
        <w:tabs>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t xml:space="preserve"> 上市公司应当在其股票的退市整理期届满当日再次发布终止上市公告，对公司股票进入</w:t>
      </w:r>
      <w:r>
        <w:rPr>
          <w:rFonts w:ascii="仿宋_GB2312" w:hAnsi="黑体"/>
          <w:sz w:val="32"/>
          <w:szCs w:val="32"/>
        </w:rPr>
        <w:t>全国中小企业股份转让系统</w:t>
      </w:r>
      <w:r>
        <w:rPr>
          <w:rFonts w:ascii="仿宋_GB2312" w:hAnsi="黑体" w:hint="eastAsia"/>
          <w:sz w:val="32"/>
          <w:szCs w:val="32"/>
        </w:rPr>
        <w:t>等</w:t>
      </w:r>
      <w:r>
        <w:rPr>
          <w:rFonts w:ascii="仿宋_GB2312" w:hAnsi="黑体"/>
          <w:sz w:val="32"/>
          <w:szCs w:val="32"/>
        </w:rPr>
        <w:t>证券交易场所</w:t>
      </w:r>
      <w:r>
        <w:rPr>
          <w:rFonts w:ascii="仿宋_GB2312" w:hAnsi="黑体" w:hint="eastAsia"/>
          <w:sz w:val="32"/>
          <w:szCs w:val="32"/>
        </w:rPr>
        <w:t>的具体事宜，包括拟进入的市场名称、进入日期、股份重新确认、登记、托管等股票终止上市后续安排</w:t>
      </w:r>
      <w:proofErr w:type="gramStart"/>
      <w:r>
        <w:rPr>
          <w:rFonts w:ascii="仿宋_GB2312" w:hAnsi="黑体" w:hint="eastAsia"/>
          <w:sz w:val="32"/>
          <w:szCs w:val="32"/>
        </w:rPr>
        <w:t>作出</w:t>
      </w:r>
      <w:proofErr w:type="gramEnd"/>
      <w:r>
        <w:rPr>
          <w:rFonts w:ascii="仿宋_GB2312" w:hAnsi="黑体" w:hint="eastAsia"/>
          <w:sz w:val="32"/>
          <w:szCs w:val="32"/>
        </w:rPr>
        <w:t>说明。</w:t>
      </w:r>
    </w:p>
    <w:p w14:paraId="0840E0D2" w14:textId="77777777" w:rsidR="000C29B8" w:rsidRDefault="00000000">
      <w:pPr>
        <w:pStyle w:val="afa"/>
        <w:numPr>
          <w:ilvl w:val="0"/>
          <w:numId w:val="52"/>
        </w:numPr>
        <w:tabs>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t xml:space="preserve"> 上市公司在退市整理期间对外发布公告时，应当在公告的“重要提示”中特别说明已经交易的时间、剩余交易日及交易期满公司股票将被终止上市，并提示相关交易风险。</w:t>
      </w:r>
    </w:p>
    <w:p w14:paraId="3BFD8027" w14:textId="77777777" w:rsidR="000C29B8" w:rsidRDefault="00000000">
      <w:pPr>
        <w:pStyle w:val="afa"/>
        <w:numPr>
          <w:ilvl w:val="0"/>
          <w:numId w:val="52"/>
        </w:numPr>
        <w:tabs>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t>上市公司股票进入退市整理期的，公司在退</w:t>
      </w:r>
      <w:r>
        <w:rPr>
          <w:rFonts w:ascii="仿宋_GB2312" w:hAnsi="黑体" w:hint="eastAsia"/>
          <w:sz w:val="32"/>
          <w:szCs w:val="32"/>
        </w:rPr>
        <w:lastRenderedPageBreak/>
        <w:t>市整理期间不得筹划或者实施重大资产重组事项。</w:t>
      </w:r>
    </w:p>
    <w:p w14:paraId="072A23ED" w14:textId="77777777" w:rsidR="000C29B8" w:rsidRDefault="00000000">
      <w:pPr>
        <w:pStyle w:val="afa"/>
        <w:numPr>
          <w:ilvl w:val="0"/>
          <w:numId w:val="52"/>
        </w:numPr>
        <w:tabs>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t>退市整理期届满后5个交易日内，本所对公司股票予以摘牌，公司股票终止上市，并转入</w:t>
      </w:r>
      <w:r>
        <w:rPr>
          <w:rFonts w:ascii="仿宋_GB2312" w:hAnsi="黑体"/>
          <w:sz w:val="32"/>
          <w:szCs w:val="32"/>
        </w:rPr>
        <w:t>全国中小企业股份转让系统</w:t>
      </w:r>
      <w:r>
        <w:rPr>
          <w:rFonts w:ascii="仿宋_GB2312" w:hAnsi="黑体" w:hint="eastAsia"/>
          <w:sz w:val="32"/>
          <w:szCs w:val="32"/>
        </w:rPr>
        <w:t>等</w:t>
      </w:r>
      <w:r>
        <w:rPr>
          <w:rFonts w:ascii="仿宋_GB2312" w:hAnsi="黑体"/>
          <w:sz w:val="32"/>
          <w:szCs w:val="32"/>
        </w:rPr>
        <w:t>证券交易场所</w:t>
      </w:r>
      <w:r>
        <w:rPr>
          <w:rFonts w:ascii="仿宋_GB2312" w:hAnsi="黑体" w:hint="eastAsia"/>
          <w:sz w:val="32"/>
          <w:szCs w:val="32"/>
        </w:rPr>
        <w:t>转让。</w:t>
      </w:r>
    </w:p>
    <w:p w14:paraId="76B0E0B5" w14:textId="77777777" w:rsidR="000C29B8" w:rsidRDefault="00000000">
      <w:pPr>
        <w:pStyle w:val="afa"/>
        <w:numPr>
          <w:ilvl w:val="0"/>
          <w:numId w:val="52"/>
        </w:numPr>
        <w:tabs>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t>上市公司应当在本所</w:t>
      </w:r>
      <w:proofErr w:type="gramStart"/>
      <w:r>
        <w:rPr>
          <w:rFonts w:ascii="仿宋_GB2312" w:hAnsi="黑体" w:hint="eastAsia"/>
          <w:sz w:val="32"/>
          <w:szCs w:val="32"/>
        </w:rPr>
        <w:t>作出</w:t>
      </w:r>
      <w:proofErr w:type="gramEnd"/>
      <w:r>
        <w:rPr>
          <w:rFonts w:ascii="仿宋_GB2312" w:hAnsi="黑体" w:hint="eastAsia"/>
          <w:sz w:val="32"/>
          <w:szCs w:val="32"/>
        </w:rPr>
        <w:t>终止其股票上市决定后，立即安排股票转入</w:t>
      </w:r>
      <w:r>
        <w:rPr>
          <w:rFonts w:ascii="仿宋_GB2312" w:hAnsi="黑体"/>
          <w:sz w:val="32"/>
          <w:szCs w:val="32"/>
        </w:rPr>
        <w:t>全国中小企业股份转让系统</w:t>
      </w:r>
      <w:r>
        <w:rPr>
          <w:rFonts w:ascii="仿宋_GB2312" w:hAnsi="黑体" w:hint="eastAsia"/>
          <w:sz w:val="32"/>
          <w:szCs w:val="32"/>
        </w:rPr>
        <w:t>等</w:t>
      </w:r>
      <w:r>
        <w:rPr>
          <w:rFonts w:ascii="仿宋_GB2312" w:hAnsi="黑体"/>
          <w:sz w:val="32"/>
          <w:szCs w:val="32"/>
        </w:rPr>
        <w:t>证券交易场所</w:t>
      </w:r>
      <w:r>
        <w:rPr>
          <w:rFonts w:ascii="仿宋_GB2312" w:hAnsi="黑体" w:hint="eastAsia"/>
          <w:sz w:val="32"/>
          <w:szCs w:val="32"/>
        </w:rPr>
        <w:t>转让相关事宜，保证公司股票在摘牌之日起45个交易日内可以转让。</w:t>
      </w:r>
    </w:p>
    <w:p w14:paraId="7AA986FF" w14:textId="77777777" w:rsidR="000C29B8" w:rsidRDefault="00000000">
      <w:pPr>
        <w:tabs>
          <w:tab w:val="left" w:pos="1560"/>
        </w:tabs>
        <w:snapToGrid w:val="0"/>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上市公司将其股票转入</w:t>
      </w:r>
      <w:r>
        <w:rPr>
          <w:rFonts w:ascii="仿宋_GB2312" w:eastAsia="仿宋_GB2312" w:hAnsi="黑体"/>
          <w:sz w:val="32"/>
          <w:szCs w:val="32"/>
        </w:rPr>
        <w:t>全国中小企业股份转让系统</w:t>
      </w:r>
      <w:r>
        <w:rPr>
          <w:rFonts w:ascii="仿宋_GB2312" w:eastAsia="仿宋_GB2312" w:hAnsi="黑体" w:hint="eastAsia"/>
          <w:sz w:val="32"/>
          <w:szCs w:val="32"/>
        </w:rPr>
        <w:t>等</w:t>
      </w:r>
      <w:r>
        <w:rPr>
          <w:rFonts w:ascii="仿宋_GB2312" w:eastAsia="仿宋_GB2312" w:hAnsi="黑体"/>
          <w:sz w:val="32"/>
          <w:szCs w:val="32"/>
        </w:rPr>
        <w:t>证券交易场所</w:t>
      </w:r>
      <w:r>
        <w:rPr>
          <w:rFonts w:ascii="仿宋_GB2312" w:eastAsia="仿宋_GB2312" w:hAnsi="黑体" w:hint="eastAsia"/>
          <w:sz w:val="32"/>
          <w:szCs w:val="32"/>
        </w:rPr>
        <w:t>转让，应当聘请具有主办券商业务资格的证券公司（以下</w:t>
      </w:r>
      <w:proofErr w:type="gramStart"/>
      <w:r>
        <w:rPr>
          <w:rFonts w:ascii="仿宋_GB2312" w:eastAsia="仿宋_GB2312" w:hAnsi="黑体" w:hint="eastAsia"/>
          <w:sz w:val="32"/>
          <w:szCs w:val="32"/>
        </w:rPr>
        <w:t>简称主办</w:t>
      </w:r>
      <w:proofErr w:type="gramEnd"/>
      <w:r>
        <w:rPr>
          <w:rFonts w:ascii="仿宋_GB2312" w:eastAsia="仿宋_GB2312" w:hAnsi="黑体" w:hint="eastAsia"/>
          <w:sz w:val="32"/>
          <w:szCs w:val="32"/>
        </w:rPr>
        <w:t>券商）并与其签订相关协议。公司未聘请或</w:t>
      </w:r>
      <w:proofErr w:type="gramStart"/>
      <w:r>
        <w:rPr>
          <w:rFonts w:ascii="仿宋_GB2312" w:eastAsia="仿宋_GB2312" w:hAnsi="黑体" w:hint="eastAsia"/>
          <w:sz w:val="32"/>
          <w:szCs w:val="32"/>
        </w:rPr>
        <w:t>无主办</w:t>
      </w:r>
      <w:proofErr w:type="gramEnd"/>
      <w:r>
        <w:rPr>
          <w:rFonts w:ascii="仿宋_GB2312" w:eastAsia="仿宋_GB2312" w:hAnsi="黑体" w:hint="eastAsia"/>
          <w:sz w:val="32"/>
          <w:szCs w:val="32"/>
        </w:rPr>
        <w:t>券商接受其聘请的，本所在</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终止其股票上市的决定后，可以为其协调确定主办券商，通知公司和主办券商，并于2个交易日内就上述事项披露相关公告（公司不再具备法人资格的情形除外）。</w:t>
      </w:r>
    </w:p>
    <w:p w14:paraId="54ACDF98" w14:textId="77777777" w:rsidR="000C29B8" w:rsidRDefault="00000000">
      <w:pPr>
        <w:pStyle w:val="23"/>
      </w:pPr>
      <w:bookmarkStart w:id="1021" w:name="_Toc16422"/>
      <w:r>
        <w:rPr>
          <w:rFonts w:hint="eastAsia"/>
        </w:rPr>
        <w:t>第八节  主动终止上市</w:t>
      </w:r>
      <w:bookmarkEnd w:id="1021"/>
    </w:p>
    <w:p w14:paraId="070AA6E9" w14:textId="77777777" w:rsidR="000C29B8" w:rsidRDefault="00000000">
      <w:pPr>
        <w:numPr>
          <w:ilvl w:val="2"/>
          <w:numId w:val="53"/>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上市公司出现下列情形之一的，可以向本所申请主动终止上市：</w:t>
      </w:r>
    </w:p>
    <w:p w14:paraId="3EB1E035"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（一）上市公司股东大会决议主动撤回其股票在本所的交易，并决定不再在本所交易；</w:t>
      </w:r>
    </w:p>
    <w:p w14:paraId="48F3277F"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（二）上市公司股东大会决议主动撤回其股票在本所的交易，并转而申请在其他交易场所交易或转让；</w:t>
      </w:r>
    </w:p>
    <w:p w14:paraId="333F0F99"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（三）上市公司向所有股东发出回购全部股份或部分股份的要约，导致公司股本总额、股权分布等发生变化不再具</w:t>
      </w:r>
      <w:r>
        <w:rPr>
          <w:rFonts w:ascii="仿宋_GB2312" w:eastAsia="仿宋_GB2312" w:hAnsi="黑体" w:hint="eastAsia"/>
          <w:sz w:val="32"/>
          <w:szCs w:val="32"/>
        </w:rPr>
        <w:lastRenderedPageBreak/>
        <w:t>备上市条件；</w:t>
      </w:r>
    </w:p>
    <w:p w14:paraId="15463FF8"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（四）上市公司股东向所有其他股东发出收购全部股份或部分股份的要约，导致公司股本总额、股权分布等发生变化不再具备上市条件；</w:t>
      </w:r>
    </w:p>
    <w:p w14:paraId="4310C956"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（五）除上市公司股东外的其他收购人向所有股东发出收购全部股份或部分股份的要约，导致公司股本总额、股权分布等发生变化不再具备上市条件；</w:t>
      </w:r>
    </w:p>
    <w:p w14:paraId="7608C394"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（六）上市公司因新设合并或者吸收合并，不再具有独立法人资格并被注销；</w:t>
      </w:r>
    </w:p>
    <w:p w14:paraId="4943EEB7"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（七）上市公司股东大会决议公司解散；</w:t>
      </w:r>
    </w:p>
    <w:p w14:paraId="4E29B653"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（八）中国证监会和本所认可的其他主动终止上市情形。</w:t>
      </w:r>
    </w:p>
    <w:p w14:paraId="314471CF" w14:textId="77777777" w:rsidR="000C29B8" w:rsidRDefault="00000000">
      <w:pPr>
        <w:numPr>
          <w:ilvl w:val="2"/>
          <w:numId w:val="53"/>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前条第一项、第二项规定的股东大会决议事项，除须经出席会议的全体股东所持有效表决权的三分之二以上通过外，还须经出席会议的除下列股东以外的其他股东所持有效表决权的三分之二以上通过：</w:t>
      </w:r>
    </w:p>
    <w:p w14:paraId="29CEDC01"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（一）上市公司的董事、监事、高级管理人员；</w:t>
      </w:r>
    </w:p>
    <w:p w14:paraId="7FDAE8FA"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（二）单独或者合计持有上市公司5%以上股份的股东。</w:t>
      </w:r>
    </w:p>
    <w:p w14:paraId="0C28BE21" w14:textId="77777777" w:rsidR="000C29B8" w:rsidRDefault="00000000">
      <w:pPr>
        <w:numPr>
          <w:ilvl w:val="2"/>
          <w:numId w:val="53"/>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上市公司应当在第12.8.1条第一项、第二项规定的股东大会召开通知发布之前，充分披露主动终止上市方案、退</w:t>
      </w:r>
      <w:proofErr w:type="gramStart"/>
      <w:r>
        <w:rPr>
          <w:rFonts w:ascii="仿宋_GB2312" w:eastAsia="仿宋_GB2312" w:hAnsi="黑体" w:hint="eastAsia"/>
          <w:sz w:val="32"/>
          <w:szCs w:val="32"/>
        </w:rPr>
        <w:t>市原因</w:t>
      </w:r>
      <w:proofErr w:type="gramEnd"/>
      <w:r>
        <w:rPr>
          <w:rFonts w:ascii="仿宋_GB2312" w:eastAsia="仿宋_GB2312" w:hAnsi="黑体" w:hint="eastAsia"/>
          <w:sz w:val="32"/>
          <w:szCs w:val="32"/>
        </w:rPr>
        <w:t>及退市后的发展战略，包括并购重组安排、经营发展计划、为异议股东提供现金选择权等保护措施的专项说明等。</w:t>
      </w:r>
    </w:p>
    <w:p w14:paraId="12129C7B"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上市公司应当聘请财务顾问和律师事务所为主动终止上市提供专业服务，发表专业意见并与股东大会召开通知一</w:t>
      </w:r>
      <w:r>
        <w:rPr>
          <w:rFonts w:ascii="仿宋_GB2312" w:eastAsia="仿宋_GB2312" w:hAnsi="黑体" w:hint="eastAsia"/>
          <w:sz w:val="32"/>
          <w:szCs w:val="32"/>
        </w:rPr>
        <w:lastRenderedPageBreak/>
        <w:t>并公告。</w:t>
      </w:r>
    </w:p>
    <w:p w14:paraId="6F09DFC4"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股东大会对主动终止上市事项进行审议后，上市公司应当及时披露股东大会决议公告，说明议案的审议及通过情况。</w:t>
      </w:r>
    </w:p>
    <w:p w14:paraId="68DA4E2C" w14:textId="77777777" w:rsidR="000C29B8" w:rsidRDefault="00000000">
      <w:pPr>
        <w:numPr>
          <w:ilvl w:val="2"/>
          <w:numId w:val="53"/>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因第12.8.1条第三项至第七项规定的回购、收购、公司合并以及自愿解散等情形引发主动终止上市的，应当遵守《公司法》《证券法》《上市公司收购管理办法》《重组办法》等有关规定及本所相关业务规则，严格履行决策、实施程序和信息披露义务，并及时向本所申请公司股票停牌或复牌。</w:t>
      </w:r>
    </w:p>
    <w:p w14:paraId="19F5E473"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上市公司以自愿解散形式申请主动终止上市的，除遵守法律法规等有关规定外，还应遵守第12.8.2条和第12.8.3条的规定。</w:t>
      </w:r>
    </w:p>
    <w:p w14:paraId="0949C9ED" w14:textId="77777777" w:rsidR="000C29B8" w:rsidRDefault="00000000">
      <w:pPr>
        <w:numPr>
          <w:ilvl w:val="2"/>
          <w:numId w:val="53"/>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上市公司因收购人履行要约收购义务，或收购人以终止公司上市地位为目的而发出全面要约的，要约收购期满至要约收购结果公告前，公司股票应当停牌。</w:t>
      </w:r>
    </w:p>
    <w:p w14:paraId="6ED43AC6" w14:textId="77777777" w:rsidR="000C29B8" w:rsidRDefault="00000000">
      <w:pPr>
        <w:tabs>
          <w:tab w:val="left" w:pos="1560"/>
        </w:tabs>
        <w:snapToGrid w:val="0"/>
        <w:spacing w:line="560" w:lineRule="exact"/>
        <w:ind w:firstLine="640"/>
        <w:rPr>
          <w:rFonts w:ascii="仿宋_GB2312" w:eastAsia="仿宋_GB2312" w:hAnsi="黑体"/>
          <w:sz w:val="32"/>
          <w:szCs w:val="32"/>
        </w:rPr>
      </w:pPr>
      <w:r>
        <w:rPr>
          <w:rFonts w:ascii="仿宋_GB2312" w:eastAsia="仿宋_GB2312" w:hAnsi="黑体" w:hint="eastAsia"/>
          <w:sz w:val="32"/>
          <w:szCs w:val="32"/>
        </w:rPr>
        <w:t>根据收购结果，被收购上市公司股权分布不具备上市条件，上市公司应当按照下列情形分别处理：</w:t>
      </w:r>
    </w:p>
    <w:p w14:paraId="5EDFA82D" w14:textId="77777777" w:rsidR="000C29B8" w:rsidRDefault="00000000">
      <w:pPr>
        <w:tabs>
          <w:tab w:val="left" w:pos="1560"/>
        </w:tabs>
        <w:snapToGrid w:val="0"/>
        <w:spacing w:line="560" w:lineRule="exact"/>
        <w:ind w:firstLine="640"/>
        <w:rPr>
          <w:rFonts w:ascii="仿宋_GB2312" w:eastAsia="仿宋_GB2312" w:hAnsi="黑体"/>
          <w:sz w:val="32"/>
          <w:szCs w:val="32"/>
        </w:rPr>
      </w:pPr>
      <w:r>
        <w:rPr>
          <w:rFonts w:ascii="仿宋_GB2312" w:eastAsia="仿宋_GB2312" w:hAnsi="黑体" w:hint="eastAsia"/>
          <w:sz w:val="32"/>
          <w:szCs w:val="32"/>
        </w:rPr>
        <w:t>（一）收购人以终止上市公司上市地位为目的的，按照第12.8.1条第四项或者第五项情形相应的退</w:t>
      </w:r>
      <w:proofErr w:type="gramStart"/>
      <w:r>
        <w:rPr>
          <w:rFonts w:ascii="仿宋_GB2312" w:eastAsia="仿宋_GB2312" w:hAnsi="黑体" w:hint="eastAsia"/>
          <w:sz w:val="32"/>
          <w:szCs w:val="32"/>
        </w:rPr>
        <w:t>市程序</w:t>
      </w:r>
      <w:proofErr w:type="gramEnd"/>
      <w:r>
        <w:rPr>
          <w:rFonts w:ascii="仿宋_GB2312" w:eastAsia="仿宋_GB2312" w:hAnsi="黑体" w:hint="eastAsia"/>
          <w:sz w:val="32"/>
          <w:szCs w:val="32"/>
        </w:rPr>
        <w:t>执行，公司股票应当于要约结果公告日继续停牌，直至本所终止其股票上市；</w:t>
      </w:r>
    </w:p>
    <w:p w14:paraId="4543B611" w14:textId="77777777" w:rsidR="000C29B8" w:rsidRDefault="00000000">
      <w:pPr>
        <w:tabs>
          <w:tab w:val="left" w:pos="1560"/>
        </w:tabs>
        <w:snapToGrid w:val="0"/>
        <w:spacing w:line="560" w:lineRule="exact"/>
        <w:ind w:firstLine="640"/>
        <w:rPr>
          <w:rFonts w:ascii="仿宋_GB2312" w:eastAsia="仿宋_GB2312" w:hAnsi="黑体"/>
          <w:sz w:val="32"/>
          <w:szCs w:val="32"/>
        </w:rPr>
      </w:pPr>
      <w:r>
        <w:rPr>
          <w:rFonts w:ascii="仿宋_GB2312" w:eastAsia="仿宋_GB2312" w:hAnsi="黑体" w:hint="eastAsia"/>
          <w:sz w:val="32"/>
          <w:szCs w:val="32"/>
        </w:rPr>
        <w:t>（二）收购人不以终止上市公司上市地位为目的的，按照第12.5.1条第七项情形相应的程序执行。</w:t>
      </w:r>
    </w:p>
    <w:p w14:paraId="51AC7D58" w14:textId="77777777" w:rsidR="000C29B8" w:rsidRDefault="00000000">
      <w:pPr>
        <w:numPr>
          <w:ilvl w:val="2"/>
          <w:numId w:val="53"/>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上市公司根据第12.8.1条第一项、第二项规定</w:t>
      </w:r>
      <w:r>
        <w:rPr>
          <w:rFonts w:ascii="仿宋_GB2312" w:eastAsia="仿宋_GB2312" w:hAnsi="黑体" w:hint="eastAsia"/>
          <w:sz w:val="32"/>
          <w:szCs w:val="32"/>
        </w:rPr>
        <w:lastRenderedPageBreak/>
        <w:t>的情形，申请主动终止上市的，应当向本所申请其股票自股东大会股权登记日的次一交易日起停牌，并于股东大会</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终止上市决议后的15个交易日内，向本所提交主动终止上市申请。</w:t>
      </w:r>
    </w:p>
    <w:p w14:paraId="61518AA2"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上市公司因第12.8.1条第三项至第七项规定的回购、收购、公司合并以及自愿解散等情形引发主动终止上市的，公司应当按照相关规定，及时向本所提交主动终止上市申请。</w:t>
      </w:r>
    </w:p>
    <w:p w14:paraId="104057C0"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公司应当在提出申请后，及时发布相关公告。</w:t>
      </w:r>
    </w:p>
    <w:p w14:paraId="0F730DA3" w14:textId="77777777" w:rsidR="000C29B8" w:rsidRDefault="00000000">
      <w:pPr>
        <w:numPr>
          <w:ilvl w:val="2"/>
          <w:numId w:val="53"/>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上市公司向本所提出主动终止上市申请的，应当提交下列文件：</w:t>
      </w:r>
    </w:p>
    <w:p w14:paraId="4BDED21F"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（一）主动终止上市申请书；</w:t>
      </w:r>
    </w:p>
    <w:p w14:paraId="3E2FDA09"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（二）董事会决议；</w:t>
      </w:r>
    </w:p>
    <w:p w14:paraId="4CCC5EE4"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（三）股东大会决议（如适用）；</w:t>
      </w:r>
    </w:p>
    <w:p w14:paraId="57611F94"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（四）主动终止上市的方案；</w:t>
      </w:r>
    </w:p>
    <w:p w14:paraId="440546EF"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（五）主动终止上市后去向安排的说明；</w:t>
      </w:r>
    </w:p>
    <w:p w14:paraId="197F1452"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（六）为异议股东提供现金选择权等保护措施的专项说明；</w:t>
      </w:r>
    </w:p>
    <w:p w14:paraId="3B3B4AEE"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（七）财务顾问出具的关于公司主动终止上市的专项意见；</w:t>
      </w:r>
    </w:p>
    <w:p w14:paraId="6CB66EB1"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（八）律师出具的关于公司主动终止上市的专项法律意见；</w:t>
      </w:r>
    </w:p>
    <w:p w14:paraId="2DC15B29"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（九）本所要求的其他材料。</w:t>
      </w:r>
    </w:p>
    <w:p w14:paraId="6DD30C3C" w14:textId="77777777" w:rsidR="000C29B8" w:rsidRDefault="00000000">
      <w:pPr>
        <w:numPr>
          <w:ilvl w:val="2"/>
          <w:numId w:val="53"/>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上市公司主动终止上市事项未获股东大会审议通过的，公司应当及时向本所申请其股票自股东大会决议公</w:t>
      </w:r>
      <w:r>
        <w:rPr>
          <w:rFonts w:ascii="仿宋_GB2312" w:eastAsia="仿宋_GB2312" w:hAnsi="黑体" w:hint="eastAsia"/>
          <w:sz w:val="32"/>
          <w:szCs w:val="32"/>
        </w:rPr>
        <w:lastRenderedPageBreak/>
        <w:t>告之日起复牌。</w:t>
      </w:r>
    </w:p>
    <w:p w14:paraId="5489398E" w14:textId="77777777" w:rsidR="000C29B8" w:rsidRDefault="00000000">
      <w:pPr>
        <w:numPr>
          <w:ilvl w:val="2"/>
          <w:numId w:val="53"/>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本所在收到上市公司提交的主动终止上市申请文件之日后5个交易日内，</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是否受理的决定并通知公司。公司应当在收到决定后及时披露，并提示其股票是否存在可能终止上市的风险。</w:t>
      </w:r>
    </w:p>
    <w:p w14:paraId="2F71DBD2" w14:textId="77777777" w:rsidR="000C29B8" w:rsidRDefault="00000000">
      <w:pPr>
        <w:numPr>
          <w:ilvl w:val="2"/>
          <w:numId w:val="53"/>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本所在受理上市公司主动终止上市申请之日后的15个交易日内，</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是否同意其股票终止上市的决定。在此期间，本所要求公司提供补充材料的，公司提供补充材料期间不计入上述</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有关决定的期限，但累计不得超过30个交易日。</w:t>
      </w:r>
    </w:p>
    <w:p w14:paraId="3E0ADBF5"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因全面要约收购上市公司股份、实施以上市公司为对象的公司合并、上市公司全面回购股份，导致公司股票退出市场交易的，除另有规定外，本所在公司公告回购或者收购结果、完成合并交易之日起15个交易日内，</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是否终止其股票上市的决定。</w:t>
      </w:r>
    </w:p>
    <w:p w14:paraId="41A52995" w14:textId="77777777" w:rsidR="000C29B8" w:rsidRDefault="00000000">
      <w:pPr>
        <w:numPr>
          <w:ilvl w:val="2"/>
          <w:numId w:val="53"/>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本所上市委员会对上市公司股票主动终止上市事宜进行审议，重点从保护投资者特别是中小投资者权益的角度，在审查上市公司决策程序合</w:t>
      </w:r>
      <w:proofErr w:type="gramStart"/>
      <w:r>
        <w:rPr>
          <w:rFonts w:ascii="仿宋_GB2312" w:eastAsia="仿宋_GB2312" w:hAnsi="黑体" w:hint="eastAsia"/>
          <w:sz w:val="32"/>
          <w:szCs w:val="32"/>
        </w:rPr>
        <w:t>规</w:t>
      </w:r>
      <w:proofErr w:type="gramEnd"/>
      <w:r>
        <w:rPr>
          <w:rFonts w:ascii="仿宋_GB2312" w:eastAsia="仿宋_GB2312" w:hAnsi="黑体" w:hint="eastAsia"/>
          <w:sz w:val="32"/>
          <w:szCs w:val="32"/>
        </w:rPr>
        <w:t>性的基础上，</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独立的专业判断并形成审议意见。</w:t>
      </w:r>
    </w:p>
    <w:p w14:paraId="78392253"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本所根据上市委员会的审议意见，</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是否终止股票上市的决定。</w:t>
      </w:r>
    </w:p>
    <w:p w14:paraId="42E6CB41" w14:textId="77777777" w:rsidR="000C29B8" w:rsidRDefault="00000000">
      <w:pPr>
        <w:numPr>
          <w:ilvl w:val="2"/>
          <w:numId w:val="53"/>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本所在</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终止股票上市的决定之日起2个交易日内通知公司并发布相关公告。</w:t>
      </w:r>
    </w:p>
    <w:p w14:paraId="2B105541" w14:textId="77777777" w:rsidR="000C29B8" w:rsidRDefault="00000000">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公司应当在收到本所关于终止其股票上市决定之日的</w:t>
      </w:r>
      <w:r>
        <w:rPr>
          <w:rFonts w:ascii="仿宋_GB2312" w:eastAsia="仿宋_GB2312" w:hAnsi="黑体" w:hint="eastAsia"/>
          <w:sz w:val="32"/>
          <w:szCs w:val="32"/>
        </w:rPr>
        <w:lastRenderedPageBreak/>
        <w:t>次一交易日，披露股票终止上市公告。公司股票不进入退市整理期交易。</w:t>
      </w:r>
    </w:p>
    <w:p w14:paraId="2CA373E2" w14:textId="77777777" w:rsidR="000C29B8" w:rsidRDefault="00000000">
      <w:pPr>
        <w:numPr>
          <w:ilvl w:val="2"/>
          <w:numId w:val="53"/>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上市公司主动终止上市的，本所在公司公告股票终止上市决定之日起5个交易日内对其予以摘牌，公司股票终止上市。</w:t>
      </w:r>
    </w:p>
    <w:p w14:paraId="15A173B4" w14:textId="77777777" w:rsidR="000C29B8" w:rsidRDefault="00000000">
      <w:pPr>
        <w:numPr>
          <w:ilvl w:val="2"/>
          <w:numId w:val="53"/>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上市公司主动终止上市的，公司及相关各方应当对公司股票退市后的转让或者交易、异议股东保护措施等</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妥善安排，保护投资者特别是中小投资者的合法权益。</w:t>
      </w:r>
    </w:p>
    <w:p w14:paraId="6DE0889E" w14:textId="77777777" w:rsidR="000C29B8" w:rsidRDefault="00000000">
      <w:pPr>
        <w:numPr>
          <w:ilvl w:val="2"/>
          <w:numId w:val="53"/>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主动终止上市公司可以选择在全国中小企业股份转让系统等</w:t>
      </w:r>
      <w:r>
        <w:rPr>
          <w:rFonts w:ascii="仿宋_GB2312" w:eastAsia="仿宋_GB2312" w:hAnsi="黑体"/>
          <w:sz w:val="32"/>
          <w:szCs w:val="32"/>
        </w:rPr>
        <w:t>证券交易场所</w:t>
      </w:r>
      <w:r>
        <w:rPr>
          <w:rFonts w:ascii="仿宋_GB2312" w:eastAsia="仿宋_GB2312" w:hAnsi="黑体" w:hint="eastAsia"/>
          <w:sz w:val="32"/>
          <w:szCs w:val="32"/>
        </w:rPr>
        <w:t>转让其股票，或者依法</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其他安排。</w:t>
      </w:r>
    </w:p>
    <w:p w14:paraId="59E6197F" w14:textId="77777777" w:rsidR="000C29B8" w:rsidRDefault="00000000">
      <w:pPr>
        <w:numPr>
          <w:ilvl w:val="2"/>
          <w:numId w:val="53"/>
        </w:numPr>
        <w:tabs>
          <w:tab w:val="clear" w:pos="1418"/>
          <w:tab w:val="left" w:pos="0"/>
          <w:tab w:val="left" w:pos="1560"/>
        </w:tabs>
        <w:snapToGrid w:val="0"/>
        <w:spacing w:line="560" w:lineRule="exact"/>
        <w:ind w:left="0" w:firstLineChars="200" w:firstLine="640"/>
        <w:rPr>
          <w:rFonts w:ascii="仿宋_GB2312" w:eastAsia="仿宋_GB2312" w:hAnsi="黑体"/>
          <w:sz w:val="32"/>
          <w:szCs w:val="32"/>
        </w:rPr>
      </w:pPr>
      <w:r>
        <w:rPr>
          <w:rFonts w:ascii="仿宋_GB2312" w:eastAsia="仿宋_GB2312" w:hAnsi="黑体" w:hint="eastAsia"/>
          <w:sz w:val="32"/>
          <w:szCs w:val="32"/>
        </w:rPr>
        <w:t>本所在</w:t>
      </w:r>
      <w:proofErr w:type="gramStart"/>
      <w:r>
        <w:rPr>
          <w:rFonts w:ascii="仿宋_GB2312" w:eastAsia="仿宋_GB2312" w:hAnsi="黑体" w:hint="eastAsia"/>
          <w:sz w:val="32"/>
          <w:szCs w:val="32"/>
        </w:rPr>
        <w:t>作出</w:t>
      </w:r>
      <w:proofErr w:type="gramEnd"/>
      <w:r>
        <w:rPr>
          <w:rFonts w:ascii="仿宋_GB2312" w:eastAsia="仿宋_GB2312" w:hAnsi="黑体" w:hint="eastAsia"/>
          <w:sz w:val="32"/>
          <w:szCs w:val="32"/>
        </w:rPr>
        <w:t>同意或者不同意上市公司主动终止上市决定之日起15个交易日内，以及上市公司退出市场交易之日起15个交易日内，将上市公司主动终止上市的情况报告中国证监会。</w:t>
      </w:r>
    </w:p>
    <w:p w14:paraId="6B6CFFF7" w14:textId="77777777" w:rsidR="000C29B8" w:rsidRDefault="00000000">
      <w:pPr>
        <w:pStyle w:val="23"/>
        <w:numPr>
          <w:ilvl w:val="0"/>
          <w:numId w:val="54"/>
        </w:numPr>
      </w:pPr>
      <w:bookmarkStart w:id="1022" w:name="_Toc17956"/>
      <w:r>
        <w:rPr>
          <w:rFonts w:hint="eastAsia"/>
        </w:rPr>
        <w:t xml:space="preserve"> 其他风险警示</w:t>
      </w:r>
      <w:bookmarkEnd w:id="1022"/>
    </w:p>
    <w:p w14:paraId="4FA496F9" w14:textId="77777777" w:rsidR="000C29B8" w:rsidRDefault="00000000">
      <w:pPr>
        <w:pStyle w:val="afa"/>
        <w:numPr>
          <w:ilvl w:val="0"/>
          <w:numId w:val="55"/>
        </w:numPr>
        <w:tabs>
          <w:tab w:val="left" w:pos="1134"/>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t xml:space="preserve"> 上市公司出现以下情形之一的，本所对其股票实施其他风险警示：</w:t>
      </w:r>
    </w:p>
    <w:p w14:paraId="7840AC30" w14:textId="77777777" w:rsidR="000C29B8" w:rsidRDefault="00000000">
      <w:pPr>
        <w:pStyle w:val="afa"/>
        <w:tabs>
          <w:tab w:val="left" w:pos="1134"/>
          <w:tab w:val="left" w:pos="1560"/>
        </w:tabs>
        <w:snapToGrid w:val="0"/>
        <w:spacing w:line="560" w:lineRule="exact"/>
        <w:ind w:firstLine="640"/>
        <w:rPr>
          <w:rFonts w:ascii="仿宋_GB2312" w:hAnsi="黑体"/>
          <w:sz w:val="32"/>
          <w:szCs w:val="32"/>
        </w:rPr>
      </w:pPr>
      <w:r>
        <w:rPr>
          <w:rFonts w:ascii="仿宋_GB2312" w:hAnsi="黑体" w:hint="eastAsia"/>
          <w:sz w:val="32"/>
          <w:szCs w:val="32"/>
        </w:rPr>
        <w:t>（一）公司被控股股东（无控股股东的，则为第一大股东）及其关联人非经营性占用资金，余额达到最近一期经审计净资产绝对值5%以上，或者金额超过1000万元，未能在1个月内完成清偿或整改；或者公司违反规定决策程序对外提供担保（担保对象为上市公司合并报表范围内子公司的除外），余额达到最近一期经审计净资产绝对值5%以上，或者</w:t>
      </w:r>
      <w:r>
        <w:rPr>
          <w:rFonts w:ascii="仿宋_GB2312" w:hAnsi="黑体" w:hint="eastAsia"/>
          <w:sz w:val="32"/>
          <w:szCs w:val="32"/>
        </w:rPr>
        <w:lastRenderedPageBreak/>
        <w:t>金额超过1000万元，未能在1个月内完成清偿或整改；</w:t>
      </w:r>
    </w:p>
    <w:p w14:paraId="641AB68E" w14:textId="77777777" w:rsidR="000C29B8" w:rsidRDefault="00000000">
      <w:pPr>
        <w:pStyle w:val="afa"/>
        <w:tabs>
          <w:tab w:val="left" w:pos="1134"/>
          <w:tab w:val="left" w:pos="1560"/>
        </w:tabs>
        <w:snapToGrid w:val="0"/>
        <w:spacing w:line="560" w:lineRule="exact"/>
        <w:ind w:firstLine="640"/>
        <w:rPr>
          <w:rFonts w:ascii="仿宋_GB2312" w:hAnsi="黑体"/>
          <w:sz w:val="32"/>
          <w:szCs w:val="32"/>
        </w:rPr>
      </w:pPr>
      <w:r>
        <w:rPr>
          <w:rFonts w:ascii="仿宋_GB2312" w:hAnsi="黑体" w:hint="eastAsia"/>
          <w:sz w:val="32"/>
          <w:szCs w:val="32"/>
        </w:rPr>
        <w:t>（二）董事会、股东大会无法正常召开会议并形成有效决议；</w:t>
      </w:r>
    </w:p>
    <w:p w14:paraId="6FDA4F02" w14:textId="77777777" w:rsidR="000C29B8" w:rsidRDefault="00000000">
      <w:pPr>
        <w:pStyle w:val="afa"/>
        <w:tabs>
          <w:tab w:val="left" w:pos="1134"/>
          <w:tab w:val="left" w:pos="1560"/>
        </w:tabs>
        <w:snapToGrid w:val="0"/>
        <w:spacing w:line="560" w:lineRule="exact"/>
        <w:ind w:firstLine="640"/>
        <w:rPr>
          <w:rFonts w:ascii="仿宋_GB2312" w:hAnsi="黑体"/>
          <w:sz w:val="32"/>
          <w:szCs w:val="32"/>
        </w:rPr>
      </w:pPr>
      <w:r>
        <w:rPr>
          <w:rFonts w:ascii="仿宋_GB2312" w:hAnsi="黑体" w:hint="eastAsia"/>
          <w:sz w:val="32"/>
          <w:szCs w:val="32"/>
        </w:rPr>
        <w:t>（三）最近一个会计年度财务报告内部控制被出具无法表示意见或否定意见的审计报告，或未按照规定披露财务报告内部控制审计报告；</w:t>
      </w:r>
    </w:p>
    <w:p w14:paraId="2515EF5F" w14:textId="77777777" w:rsidR="000C29B8" w:rsidRDefault="00000000">
      <w:pPr>
        <w:pStyle w:val="afa"/>
        <w:tabs>
          <w:tab w:val="left" w:pos="1134"/>
          <w:tab w:val="left" w:pos="1560"/>
        </w:tabs>
        <w:snapToGrid w:val="0"/>
        <w:spacing w:line="560" w:lineRule="exact"/>
        <w:ind w:firstLine="640"/>
        <w:rPr>
          <w:rFonts w:ascii="仿宋_GB2312" w:hAnsi="黑体"/>
          <w:sz w:val="32"/>
          <w:szCs w:val="32"/>
        </w:rPr>
      </w:pPr>
      <w:r>
        <w:rPr>
          <w:rFonts w:ascii="仿宋_GB2312" w:hAnsi="黑体" w:hint="eastAsia"/>
          <w:sz w:val="32"/>
          <w:szCs w:val="32"/>
        </w:rPr>
        <w:t>（四）公司生产经营活动受到严重影响且预计在3个月内不能恢复正常；</w:t>
      </w:r>
    </w:p>
    <w:p w14:paraId="558CDBDD" w14:textId="77777777" w:rsidR="000C29B8" w:rsidRDefault="00000000">
      <w:pPr>
        <w:pStyle w:val="afa"/>
        <w:tabs>
          <w:tab w:val="left" w:pos="1134"/>
          <w:tab w:val="left" w:pos="1560"/>
        </w:tabs>
        <w:snapToGrid w:val="0"/>
        <w:spacing w:line="560" w:lineRule="exact"/>
        <w:ind w:firstLine="640"/>
        <w:rPr>
          <w:rFonts w:ascii="仿宋_GB2312" w:hAnsi="黑体"/>
          <w:sz w:val="32"/>
          <w:szCs w:val="32"/>
        </w:rPr>
      </w:pPr>
      <w:r>
        <w:rPr>
          <w:rFonts w:ascii="仿宋_GB2312" w:hAnsi="黑体" w:hint="eastAsia"/>
          <w:sz w:val="32"/>
          <w:szCs w:val="32"/>
        </w:rPr>
        <w:t>（五）主要银行账户被冻结；</w:t>
      </w:r>
    </w:p>
    <w:p w14:paraId="17DB8AA6" w14:textId="77777777" w:rsidR="000C29B8" w:rsidRDefault="00000000">
      <w:pPr>
        <w:pStyle w:val="afa"/>
        <w:tabs>
          <w:tab w:val="left" w:pos="1134"/>
          <w:tab w:val="left" w:pos="1560"/>
        </w:tabs>
        <w:snapToGrid w:val="0"/>
        <w:spacing w:line="560" w:lineRule="exact"/>
        <w:ind w:firstLine="640"/>
        <w:rPr>
          <w:rFonts w:ascii="仿宋_GB2312" w:hAnsi="黑体"/>
          <w:sz w:val="32"/>
          <w:szCs w:val="32"/>
        </w:rPr>
      </w:pPr>
      <w:r>
        <w:rPr>
          <w:rFonts w:ascii="仿宋_GB2312" w:hAnsi="黑体" w:hint="eastAsia"/>
          <w:sz w:val="32"/>
          <w:szCs w:val="32"/>
        </w:rPr>
        <w:t>（六）最近连续3个会计年度扣除非经常性损益</w:t>
      </w:r>
      <w:proofErr w:type="gramStart"/>
      <w:r>
        <w:rPr>
          <w:rFonts w:ascii="仿宋_GB2312" w:hAnsi="黑体" w:hint="eastAsia"/>
          <w:sz w:val="32"/>
          <w:szCs w:val="32"/>
        </w:rPr>
        <w:t>前后净</w:t>
      </w:r>
      <w:proofErr w:type="gramEnd"/>
      <w:r>
        <w:rPr>
          <w:rFonts w:ascii="仿宋_GB2312" w:hAnsi="黑体" w:hint="eastAsia"/>
          <w:sz w:val="32"/>
          <w:szCs w:val="32"/>
        </w:rPr>
        <w:t>利润孰低者均为负值，且最近一个会计年度财务会计报告的审计报告显示公司持续经营能力存在不确定性；</w:t>
      </w:r>
    </w:p>
    <w:p w14:paraId="5C62C238" w14:textId="77777777" w:rsidR="000C29B8" w:rsidRDefault="00000000">
      <w:pPr>
        <w:pStyle w:val="afa"/>
        <w:tabs>
          <w:tab w:val="left" w:pos="1134"/>
          <w:tab w:val="left" w:pos="1560"/>
        </w:tabs>
        <w:snapToGrid w:val="0"/>
        <w:spacing w:line="560" w:lineRule="exact"/>
        <w:ind w:firstLine="640"/>
        <w:rPr>
          <w:rFonts w:ascii="仿宋_GB2312" w:hAnsi="黑体"/>
          <w:sz w:val="32"/>
          <w:szCs w:val="32"/>
        </w:rPr>
      </w:pPr>
      <w:r>
        <w:rPr>
          <w:rFonts w:ascii="仿宋_GB2312" w:hAnsi="黑体" w:hint="eastAsia"/>
          <w:sz w:val="32"/>
          <w:szCs w:val="32"/>
        </w:rPr>
        <w:t>（七）根据中国证监会行政处罚事先告知书载明的事实，公司披露的年度报告财务指标存在虚假记载，但未触及本</w:t>
      </w:r>
      <w:proofErr w:type="gramStart"/>
      <w:r>
        <w:rPr>
          <w:rFonts w:ascii="仿宋_GB2312" w:hAnsi="黑体" w:hint="eastAsia"/>
          <w:sz w:val="32"/>
          <w:szCs w:val="32"/>
        </w:rPr>
        <w:t>规则第12</w:t>
      </w:r>
      <w:proofErr w:type="gramEnd"/>
      <w:r>
        <w:rPr>
          <w:rFonts w:ascii="仿宋_GB2312" w:hAnsi="黑体" w:hint="eastAsia"/>
          <w:sz w:val="32"/>
          <w:szCs w:val="32"/>
        </w:rPr>
        <w:t>.2.2条第一款规定情形，前述财务指标包括营业收入、利润总额、净利润、资产负债表中的资产或者负债科目；</w:t>
      </w:r>
    </w:p>
    <w:p w14:paraId="53C1B5DC" w14:textId="77777777" w:rsidR="000C29B8" w:rsidRDefault="00000000">
      <w:pPr>
        <w:pStyle w:val="afa"/>
        <w:tabs>
          <w:tab w:val="left" w:pos="1134"/>
          <w:tab w:val="left" w:pos="1560"/>
        </w:tabs>
        <w:snapToGrid w:val="0"/>
        <w:spacing w:line="560" w:lineRule="exact"/>
        <w:ind w:firstLine="640"/>
        <w:rPr>
          <w:rFonts w:ascii="仿宋_GB2312" w:hAnsi="黑体"/>
          <w:sz w:val="32"/>
          <w:szCs w:val="32"/>
        </w:rPr>
      </w:pPr>
      <w:r>
        <w:rPr>
          <w:rFonts w:ascii="仿宋_GB2312" w:hAnsi="黑体" w:hint="eastAsia"/>
          <w:sz w:val="32"/>
          <w:szCs w:val="32"/>
        </w:rPr>
        <w:t>（八）最近一个会计年度净利润为</w:t>
      </w:r>
      <w:proofErr w:type="gramStart"/>
      <w:r>
        <w:rPr>
          <w:rFonts w:ascii="仿宋_GB2312" w:hAnsi="黑体" w:hint="eastAsia"/>
          <w:sz w:val="32"/>
          <w:szCs w:val="32"/>
        </w:rPr>
        <w:t>正值且母公司</w:t>
      </w:r>
      <w:proofErr w:type="gramEnd"/>
      <w:r>
        <w:rPr>
          <w:rFonts w:ascii="仿宋_GB2312" w:hAnsi="黑体" w:hint="eastAsia"/>
          <w:sz w:val="32"/>
          <w:szCs w:val="32"/>
        </w:rPr>
        <w:t>报表年度末未分配利润为正值的公司，其最近三个会计年度累计现金分红总额低于最近三个会计年度年均净利润的30%，且最近三个会计年度累计现金分红金额低于3000万元，但最近三个会计</w:t>
      </w:r>
      <w:r>
        <w:rPr>
          <w:rFonts w:ascii="仿宋_GB2312" w:hAnsi="黑体"/>
          <w:sz w:val="32"/>
          <w:szCs w:val="32"/>
        </w:rPr>
        <w:t>年度</w:t>
      </w:r>
      <w:r>
        <w:rPr>
          <w:rFonts w:ascii="仿宋_GB2312" w:hAnsi="黑体" w:hint="eastAsia"/>
          <w:sz w:val="32"/>
          <w:szCs w:val="32"/>
        </w:rPr>
        <w:t>累计研发投入占累计营业收入比例在15%以上或最近三个会计</w:t>
      </w:r>
      <w:r>
        <w:rPr>
          <w:rFonts w:ascii="仿宋_GB2312" w:hAnsi="黑体"/>
          <w:sz w:val="32"/>
          <w:szCs w:val="32"/>
        </w:rPr>
        <w:t>年度</w:t>
      </w:r>
      <w:r>
        <w:rPr>
          <w:rFonts w:ascii="仿宋_GB2312" w:hAnsi="黑体" w:hint="eastAsia"/>
          <w:sz w:val="32"/>
          <w:szCs w:val="32"/>
        </w:rPr>
        <w:t>累计研发投入金额在3亿元以上的除外；</w:t>
      </w:r>
    </w:p>
    <w:p w14:paraId="496A98C1" w14:textId="77777777" w:rsidR="000C29B8" w:rsidRDefault="00000000">
      <w:pPr>
        <w:pStyle w:val="afa"/>
        <w:tabs>
          <w:tab w:val="left" w:pos="1134"/>
          <w:tab w:val="left" w:pos="1560"/>
        </w:tabs>
        <w:snapToGrid w:val="0"/>
        <w:spacing w:line="560" w:lineRule="exact"/>
        <w:ind w:firstLine="640"/>
        <w:rPr>
          <w:rFonts w:ascii="仿宋_GB2312" w:hAnsi="黑体"/>
          <w:sz w:val="32"/>
          <w:szCs w:val="32"/>
        </w:rPr>
      </w:pPr>
      <w:r>
        <w:rPr>
          <w:rFonts w:ascii="仿宋_GB2312" w:hAnsi="黑体" w:hint="eastAsia"/>
          <w:sz w:val="32"/>
          <w:szCs w:val="32"/>
        </w:rPr>
        <w:t>（九）公司存在严重失信，或持续经营能力明显存在重大不确定性等投资者难以判断公司前景，导致投资者权益可</w:t>
      </w:r>
      <w:r>
        <w:rPr>
          <w:rFonts w:ascii="仿宋_GB2312" w:hAnsi="黑体" w:hint="eastAsia"/>
          <w:sz w:val="32"/>
          <w:szCs w:val="32"/>
        </w:rPr>
        <w:lastRenderedPageBreak/>
        <w:t>能受到损害的其他情形。</w:t>
      </w:r>
    </w:p>
    <w:p w14:paraId="19730A2B" w14:textId="77777777" w:rsidR="000C29B8" w:rsidRDefault="00000000">
      <w:pPr>
        <w:pStyle w:val="afa"/>
        <w:tabs>
          <w:tab w:val="left" w:pos="1134"/>
          <w:tab w:val="left" w:pos="1560"/>
        </w:tabs>
        <w:snapToGrid w:val="0"/>
        <w:spacing w:line="560" w:lineRule="exact"/>
        <w:ind w:firstLine="640"/>
        <w:rPr>
          <w:rFonts w:ascii="仿宋_GB2312" w:hAnsi="黑体"/>
          <w:sz w:val="32"/>
          <w:szCs w:val="32"/>
        </w:rPr>
      </w:pPr>
      <w:r>
        <w:rPr>
          <w:rFonts w:ascii="仿宋_GB2312" w:hAnsi="黑体" w:hint="eastAsia"/>
          <w:sz w:val="32"/>
          <w:szCs w:val="32"/>
        </w:rPr>
        <w:t>公司上市不满三个完整会计年度的，前款第八项所称最近三个会计年度以公司上市后的首个完整会计年度作为首个起算年度。</w:t>
      </w:r>
    </w:p>
    <w:p w14:paraId="6D59D63B" w14:textId="77777777" w:rsidR="000C29B8" w:rsidRDefault="00000000">
      <w:pPr>
        <w:pStyle w:val="afa"/>
        <w:tabs>
          <w:tab w:val="left" w:pos="1134"/>
          <w:tab w:val="left" w:pos="1560"/>
        </w:tabs>
        <w:snapToGrid w:val="0"/>
        <w:spacing w:line="560" w:lineRule="exact"/>
        <w:ind w:firstLine="640"/>
        <w:rPr>
          <w:rFonts w:ascii="仿宋_GB2312" w:hAnsi="黑体"/>
          <w:sz w:val="32"/>
          <w:szCs w:val="32"/>
        </w:rPr>
      </w:pPr>
      <w:r>
        <w:rPr>
          <w:rFonts w:ascii="仿宋_GB2312" w:hAnsi="黑体" w:hint="eastAsia"/>
          <w:sz w:val="32"/>
          <w:szCs w:val="32"/>
        </w:rPr>
        <w:t>公司将最近一个会计年度母公司报表未分配利润全部分配后，仍出现第一款第八项规定情形的，本所不对其公司股票实施其他风险警示。</w:t>
      </w:r>
    </w:p>
    <w:p w14:paraId="2A7C81A2" w14:textId="77777777" w:rsidR="000C29B8" w:rsidRDefault="00000000">
      <w:pPr>
        <w:pStyle w:val="afa"/>
        <w:numPr>
          <w:ilvl w:val="0"/>
          <w:numId w:val="55"/>
        </w:numPr>
        <w:tabs>
          <w:tab w:val="left" w:pos="1134"/>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t xml:space="preserve"> 上市公司出现第12.9.1条第一款第一项至第七项规定情形之一的，应当在事实发生之日及时向本所报告，提交董事会的书面意见，同时进行公告并申请其股票于事实发生次一交易日起开始停牌。本所在收到公司报告之日后5个交易日内，根据实际情况，对公司股票实施其他风险警示。</w:t>
      </w:r>
    </w:p>
    <w:p w14:paraId="0585E26C" w14:textId="77777777" w:rsidR="000C29B8" w:rsidRDefault="00000000">
      <w:pPr>
        <w:pStyle w:val="afa"/>
        <w:numPr>
          <w:ilvl w:val="0"/>
          <w:numId w:val="55"/>
        </w:numPr>
        <w:tabs>
          <w:tab w:val="left" w:pos="1134"/>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t xml:space="preserve"> 上市公司董事会审议通过的年度利润分配方案实施后，公司可能出现第12.9.1条第一款第八项规定情形的，应当在年度利润分配方案披露的同时提示存在被实施其他风险警示的风险。公司股东大会审议通过该利润分配方案后，公司应当及时向本所报告，提交董事会的书面意见，同时进行公告并申请其股票于次一交易日起开始停牌。本所在收到公司报告之日后5个交易日内，根据实际情况，对公司股票实施其他风险警示。</w:t>
      </w:r>
    </w:p>
    <w:p w14:paraId="7C4BF00B" w14:textId="77777777" w:rsidR="000C29B8" w:rsidRDefault="00000000">
      <w:pPr>
        <w:pStyle w:val="afa"/>
        <w:tabs>
          <w:tab w:val="left" w:pos="1134"/>
          <w:tab w:val="left" w:pos="1560"/>
        </w:tabs>
        <w:snapToGrid w:val="0"/>
        <w:spacing w:line="560" w:lineRule="exact"/>
        <w:ind w:firstLine="640"/>
        <w:rPr>
          <w:rFonts w:ascii="仿宋_GB2312" w:hAnsi="黑体"/>
          <w:sz w:val="32"/>
          <w:szCs w:val="32"/>
        </w:rPr>
      </w:pPr>
      <w:r>
        <w:rPr>
          <w:rFonts w:ascii="仿宋_GB2312" w:hAnsi="黑体" w:hint="eastAsia"/>
          <w:sz w:val="32"/>
          <w:szCs w:val="32"/>
        </w:rPr>
        <w:t>公司股东大会如未及时审议通过有效的年度利润分配方案，导致公司直至当年6月30日仍触及第12.9.1条第一款第八项规定情形的，公司应当及时向本所报告，提交董事会的书面意见，同时进行公告并申请其股票于次一交易日起</w:t>
      </w:r>
      <w:r>
        <w:rPr>
          <w:rFonts w:ascii="仿宋_GB2312" w:hAnsi="黑体" w:hint="eastAsia"/>
          <w:sz w:val="32"/>
          <w:szCs w:val="32"/>
        </w:rPr>
        <w:lastRenderedPageBreak/>
        <w:t>开始停牌。本所在收到公司报告之日后5个交易日内，根据实际情况，对公司股票实施其他风险警示。公司应当根据股东大会审议利润分配的结果情况，及时评估是否存在可能被实施其他风险警示的风险，并及时披露。</w:t>
      </w:r>
    </w:p>
    <w:p w14:paraId="0844D9A6" w14:textId="77777777" w:rsidR="000C29B8" w:rsidRDefault="00000000">
      <w:pPr>
        <w:pStyle w:val="afa"/>
        <w:numPr>
          <w:ilvl w:val="0"/>
          <w:numId w:val="55"/>
        </w:numPr>
        <w:tabs>
          <w:tab w:val="left" w:pos="1134"/>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t xml:space="preserve"> 上市公司股票因第12.9.1条第一款第一项规定情形被实施其他风险警示的，在被实施其他风险警示期间，公司应当至少每月披露1次提示性公告，披露资金占用或违规担保的解决进展情况。</w:t>
      </w:r>
    </w:p>
    <w:p w14:paraId="545E6E53" w14:textId="77777777" w:rsidR="000C29B8" w:rsidRDefault="00000000">
      <w:pPr>
        <w:pStyle w:val="afa"/>
        <w:numPr>
          <w:ilvl w:val="0"/>
          <w:numId w:val="55"/>
        </w:numPr>
        <w:tabs>
          <w:tab w:val="left" w:pos="1134"/>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t xml:space="preserve"> 上市公司股票因第12.9.1条第一款第二项至第五项规定情形被实施其他风险警示的，在被实施其他风险警示期间，公司应当至少每月披露1次提示性公告，分阶段披露涉及事项的解决进展情况。</w:t>
      </w:r>
    </w:p>
    <w:p w14:paraId="45BB48C2" w14:textId="77777777" w:rsidR="000C29B8" w:rsidRDefault="00000000">
      <w:pPr>
        <w:pStyle w:val="afa"/>
        <w:numPr>
          <w:ilvl w:val="0"/>
          <w:numId w:val="55"/>
        </w:numPr>
        <w:tabs>
          <w:tab w:val="left" w:pos="1134"/>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t>上市公司股票因第12.9.1条第一款第一项规定情形被实施其他风险警示后，相关情形已完全消除的，公司应当及时公告，并可以向本所申请撤销对其股票实施的其他风险警示。</w:t>
      </w:r>
    </w:p>
    <w:p w14:paraId="3CE315D1" w14:textId="77777777" w:rsidR="000C29B8" w:rsidRDefault="00000000">
      <w:pPr>
        <w:pStyle w:val="afa"/>
        <w:tabs>
          <w:tab w:val="left" w:pos="1134"/>
          <w:tab w:val="left" w:pos="1560"/>
        </w:tabs>
        <w:snapToGrid w:val="0"/>
        <w:spacing w:line="560" w:lineRule="exact"/>
        <w:ind w:firstLine="640"/>
        <w:rPr>
          <w:rFonts w:ascii="仿宋_GB2312" w:hAnsi="黑体"/>
          <w:sz w:val="32"/>
          <w:szCs w:val="32"/>
        </w:rPr>
      </w:pPr>
      <w:r>
        <w:rPr>
          <w:rFonts w:ascii="仿宋_GB2312" w:hAnsi="黑体" w:hint="eastAsia"/>
          <w:sz w:val="32"/>
          <w:szCs w:val="32"/>
        </w:rPr>
        <w:t>公司关联人资金占用情形已完全消除，向本所申请撤销对其股票实施的其他风险警示的，应当提交会计师事务所出具的专项核查意见等文件。</w:t>
      </w:r>
    </w:p>
    <w:p w14:paraId="6EC8B682" w14:textId="77777777" w:rsidR="000C29B8" w:rsidRDefault="00000000">
      <w:pPr>
        <w:pStyle w:val="afa"/>
        <w:tabs>
          <w:tab w:val="left" w:pos="1134"/>
          <w:tab w:val="left" w:pos="1560"/>
        </w:tabs>
        <w:snapToGrid w:val="0"/>
        <w:spacing w:line="560" w:lineRule="exact"/>
        <w:ind w:firstLine="640"/>
        <w:rPr>
          <w:rFonts w:ascii="仿宋_GB2312" w:hAnsi="黑体"/>
          <w:sz w:val="32"/>
          <w:szCs w:val="32"/>
        </w:rPr>
      </w:pPr>
      <w:r>
        <w:rPr>
          <w:rFonts w:ascii="仿宋_GB2312" w:hAnsi="黑体" w:hint="eastAsia"/>
          <w:sz w:val="32"/>
          <w:szCs w:val="32"/>
        </w:rPr>
        <w:t>公司违规担保情形已完全消除，向本所申请撤销对其股票实施的其他风险警示的，应当提交律师事务所出具的法律意见书。</w:t>
      </w:r>
    </w:p>
    <w:p w14:paraId="250E9349" w14:textId="77777777" w:rsidR="000C29B8" w:rsidRDefault="00000000">
      <w:pPr>
        <w:pStyle w:val="afa"/>
        <w:numPr>
          <w:ilvl w:val="0"/>
          <w:numId w:val="55"/>
        </w:numPr>
        <w:tabs>
          <w:tab w:val="left" w:pos="1134"/>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t>上市公司股票因第12.9.1条第一款第二项至第六项、第九项规定情形被实施其他风险警示后，相关情形已</w:t>
      </w:r>
      <w:r>
        <w:rPr>
          <w:rFonts w:ascii="仿宋_GB2312" w:hAnsi="黑体" w:hint="eastAsia"/>
          <w:sz w:val="32"/>
          <w:szCs w:val="32"/>
        </w:rPr>
        <w:lastRenderedPageBreak/>
        <w:t>完全消除的，公司应当及时公告，并可以向本所申请撤销对其股票实施的其他风险警示。</w:t>
      </w:r>
    </w:p>
    <w:p w14:paraId="3B352D50" w14:textId="77777777" w:rsidR="000C29B8" w:rsidRDefault="00000000">
      <w:pPr>
        <w:pStyle w:val="afa"/>
        <w:tabs>
          <w:tab w:val="left" w:pos="1134"/>
          <w:tab w:val="left" w:pos="1560"/>
        </w:tabs>
        <w:snapToGrid w:val="0"/>
        <w:spacing w:line="560" w:lineRule="exact"/>
        <w:ind w:firstLine="640"/>
        <w:rPr>
          <w:rFonts w:ascii="仿宋_GB2312" w:hAnsi="黑体"/>
          <w:sz w:val="32"/>
          <w:szCs w:val="32"/>
        </w:rPr>
      </w:pPr>
      <w:r>
        <w:rPr>
          <w:rFonts w:ascii="仿宋_GB2312" w:hAnsi="黑体" w:hint="eastAsia"/>
          <w:sz w:val="32"/>
          <w:szCs w:val="32"/>
        </w:rPr>
        <w:t>公司股票因第12.9.1条第一款第三项规定情形被实施其他风险警示后，公司内部控制缺陷整改完成，内控有效运行，向本所申请撤销对其股票实施的其他风险警示的，应当披露会计师事务所对其最近一个会计年度财务报告出具的标准无保留意见的内部控制审计报告。公司进行破产重整、重组上市或者重大资产重组，按照相关规定无法披露财务报告内部控制审计报告的，公司股票继续实施其他风险警示，直至披露下一个会计年度财务报告内部控制审计报告后，按照本节相关规定执行。</w:t>
      </w:r>
    </w:p>
    <w:p w14:paraId="02182F15" w14:textId="77777777" w:rsidR="000C29B8" w:rsidRDefault="00000000">
      <w:pPr>
        <w:pStyle w:val="afa"/>
        <w:tabs>
          <w:tab w:val="left" w:pos="1134"/>
          <w:tab w:val="left" w:pos="1560"/>
        </w:tabs>
        <w:snapToGrid w:val="0"/>
        <w:spacing w:line="560" w:lineRule="exact"/>
        <w:ind w:firstLine="640"/>
        <w:rPr>
          <w:rFonts w:ascii="仿宋_GB2312" w:hAnsi="黑体"/>
          <w:sz w:val="32"/>
          <w:szCs w:val="32"/>
        </w:rPr>
      </w:pPr>
      <w:r>
        <w:rPr>
          <w:rFonts w:ascii="仿宋_GB2312" w:hAnsi="黑体" w:hint="eastAsia"/>
          <w:sz w:val="32"/>
          <w:szCs w:val="32"/>
        </w:rPr>
        <w:t>公司股票因第12.9.1条第一款第六项规定情形被实施其他风险警示后，公司最近一年经审计的财务报告显示，其扣除非经常性损益前后的净利润孰低者为正值或者持续经营能力不确定性已消除，向本所申请撤销对其股票实施的其他风险警示的，应当提交会计师事务所出具的最近一年审计报告等文件。</w:t>
      </w:r>
    </w:p>
    <w:p w14:paraId="74D2E402" w14:textId="77777777" w:rsidR="000C29B8" w:rsidRDefault="00000000">
      <w:pPr>
        <w:pStyle w:val="afa"/>
        <w:tabs>
          <w:tab w:val="left" w:pos="1134"/>
          <w:tab w:val="left" w:pos="1560"/>
        </w:tabs>
        <w:snapToGrid w:val="0"/>
        <w:spacing w:line="560" w:lineRule="exact"/>
        <w:ind w:firstLine="640"/>
        <w:rPr>
          <w:rFonts w:ascii="仿宋_GB2312" w:hAnsi="黑体"/>
          <w:sz w:val="32"/>
          <w:szCs w:val="32"/>
        </w:rPr>
      </w:pPr>
      <w:r>
        <w:rPr>
          <w:rFonts w:ascii="仿宋_GB2312" w:hAnsi="黑体" w:hint="eastAsia"/>
          <w:sz w:val="32"/>
          <w:szCs w:val="32"/>
        </w:rPr>
        <w:t>公司股票因第12.9.1条第一款第八项规定情形被实施其他风险警示后，经股东大会审议通过的年度利润分配方案表明第12.9.1条第一款第八项规定的情形已消除，公司最近一个会计年度净利润为正值，且经股东大会审议通过的年度利润分配方案显示当年现金分红金额不低于当年净利润30%的，公司应当及时公告，并可以向本所申请撤销对其股票实施的其他风险警示。</w:t>
      </w:r>
    </w:p>
    <w:p w14:paraId="59822773" w14:textId="77777777" w:rsidR="000C29B8" w:rsidRDefault="00000000">
      <w:pPr>
        <w:pStyle w:val="afa"/>
        <w:numPr>
          <w:ilvl w:val="0"/>
          <w:numId w:val="55"/>
        </w:numPr>
        <w:tabs>
          <w:tab w:val="left" w:pos="1134"/>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lastRenderedPageBreak/>
        <w:t>上市公司股票因第12.9.1条第一款第七项规定情形被实施其他风险警示后，同时符合下列条件的，可以向本所申请撤销对其股票实施的其他风险警示并披露：</w:t>
      </w:r>
    </w:p>
    <w:p w14:paraId="713047F5" w14:textId="77777777" w:rsidR="000C29B8" w:rsidRDefault="00000000">
      <w:pPr>
        <w:pStyle w:val="afa"/>
        <w:tabs>
          <w:tab w:val="left" w:pos="1134"/>
          <w:tab w:val="left" w:pos="1560"/>
        </w:tabs>
        <w:snapToGrid w:val="0"/>
        <w:spacing w:line="560" w:lineRule="exact"/>
        <w:ind w:firstLine="640"/>
        <w:rPr>
          <w:rFonts w:ascii="仿宋_GB2312" w:hAnsi="黑体"/>
          <w:sz w:val="32"/>
          <w:szCs w:val="32"/>
        </w:rPr>
      </w:pPr>
      <w:r>
        <w:rPr>
          <w:rFonts w:ascii="仿宋_GB2312" w:hAnsi="黑体" w:hint="eastAsia"/>
          <w:sz w:val="32"/>
          <w:szCs w:val="32"/>
        </w:rPr>
        <w:t>（一）中国证监会</w:t>
      </w:r>
      <w:proofErr w:type="gramStart"/>
      <w:r>
        <w:rPr>
          <w:rFonts w:ascii="仿宋_GB2312" w:hAnsi="黑体" w:hint="eastAsia"/>
          <w:sz w:val="32"/>
          <w:szCs w:val="32"/>
        </w:rPr>
        <w:t>作出</w:t>
      </w:r>
      <w:proofErr w:type="gramEnd"/>
      <w:r>
        <w:rPr>
          <w:rFonts w:ascii="仿宋_GB2312" w:hAnsi="黑体" w:hint="eastAsia"/>
          <w:sz w:val="32"/>
          <w:szCs w:val="32"/>
        </w:rPr>
        <w:t>行政处罚决定书已满12个月；</w:t>
      </w:r>
    </w:p>
    <w:p w14:paraId="64457265" w14:textId="77777777" w:rsidR="000C29B8" w:rsidRDefault="00000000">
      <w:pPr>
        <w:pStyle w:val="afa"/>
        <w:tabs>
          <w:tab w:val="left" w:pos="1134"/>
          <w:tab w:val="left" w:pos="1560"/>
        </w:tabs>
        <w:snapToGrid w:val="0"/>
        <w:spacing w:line="560" w:lineRule="exact"/>
        <w:ind w:firstLine="640"/>
        <w:rPr>
          <w:rFonts w:ascii="仿宋_GB2312" w:hAnsi="黑体"/>
          <w:sz w:val="32"/>
          <w:szCs w:val="32"/>
        </w:rPr>
      </w:pPr>
      <w:r>
        <w:rPr>
          <w:rFonts w:ascii="仿宋_GB2312" w:hAnsi="黑体" w:hint="eastAsia"/>
          <w:sz w:val="32"/>
          <w:szCs w:val="32"/>
        </w:rPr>
        <w:t>（二）公司已就行政处罚决定所涉事项对相应年度财务会计报告进行追溯重述。</w:t>
      </w:r>
    </w:p>
    <w:p w14:paraId="57427836" w14:textId="77777777" w:rsidR="000C29B8" w:rsidRDefault="00000000">
      <w:pPr>
        <w:pStyle w:val="afa"/>
        <w:tabs>
          <w:tab w:val="left" w:pos="1134"/>
          <w:tab w:val="left" w:pos="1560"/>
        </w:tabs>
        <w:snapToGrid w:val="0"/>
        <w:spacing w:line="560" w:lineRule="exact"/>
        <w:ind w:firstLine="640"/>
        <w:rPr>
          <w:rFonts w:ascii="仿宋_GB2312" w:hAnsi="黑体"/>
          <w:sz w:val="32"/>
          <w:szCs w:val="32"/>
        </w:rPr>
      </w:pPr>
      <w:r>
        <w:rPr>
          <w:rFonts w:ascii="仿宋_GB2312" w:hAnsi="黑体" w:hint="eastAsia"/>
          <w:sz w:val="32"/>
          <w:szCs w:val="32"/>
        </w:rPr>
        <w:t>公司向本所申请撤销对其股票实施的其他风险警示时，如已被提起证券虚假陈述诉讼，公司应当就投资者索赔事项充分计提预计负债，及时披露相关事项进展并提示风险。</w:t>
      </w:r>
    </w:p>
    <w:p w14:paraId="2C0AA28F" w14:textId="77777777" w:rsidR="000C29B8" w:rsidRDefault="00000000">
      <w:pPr>
        <w:pStyle w:val="afa"/>
        <w:tabs>
          <w:tab w:val="left" w:pos="1134"/>
          <w:tab w:val="left" w:pos="1560"/>
        </w:tabs>
        <w:snapToGrid w:val="0"/>
        <w:spacing w:line="560" w:lineRule="exact"/>
        <w:ind w:firstLine="640"/>
        <w:rPr>
          <w:rFonts w:ascii="仿宋_GB2312" w:hAnsi="黑体"/>
          <w:sz w:val="32"/>
          <w:szCs w:val="32"/>
        </w:rPr>
      </w:pPr>
      <w:r>
        <w:rPr>
          <w:rFonts w:ascii="仿宋_GB2312" w:hAnsi="黑体" w:hint="eastAsia"/>
          <w:sz w:val="32"/>
          <w:szCs w:val="32"/>
        </w:rPr>
        <w:t>公司在股票被实施其他风险警示期间，收到中国证监会行政处罚决定书或者结案通知书，显示未触及第12.9.1条第一款第七项规定情形，应当及时公告，并可以向本所申请撤销对其股票实施的其他风险警示。</w:t>
      </w:r>
    </w:p>
    <w:p w14:paraId="2F0B13DA" w14:textId="77777777" w:rsidR="000C29B8" w:rsidRDefault="00000000">
      <w:pPr>
        <w:pStyle w:val="afa"/>
        <w:numPr>
          <w:ilvl w:val="0"/>
          <w:numId w:val="55"/>
        </w:numPr>
        <w:tabs>
          <w:tab w:val="left" w:pos="1134"/>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t>上市公司向本所申请撤销对其股票实施的其他风险警示，应当同时</w:t>
      </w:r>
      <w:proofErr w:type="gramStart"/>
      <w:r>
        <w:rPr>
          <w:rFonts w:ascii="仿宋_GB2312" w:hAnsi="黑体" w:hint="eastAsia"/>
          <w:sz w:val="32"/>
          <w:szCs w:val="32"/>
        </w:rPr>
        <w:t>作出</w:t>
      </w:r>
      <w:proofErr w:type="gramEnd"/>
      <w:r>
        <w:rPr>
          <w:rFonts w:ascii="仿宋_GB2312" w:hAnsi="黑体" w:hint="eastAsia"/>
          <w:sz w:val="32"/>
          <w:szCs w:val="32"/>
        </w:rPr>
        <w:t>公告。本所于收到公司申请后15个交易日内，根据实际情况，决定是否撤销对其股票实施的其他风险警示。</w:t>
      </w:r>
    </w:p>
    <w:p w14:paraId="57056C1C" w14:textId="77777777" w:rsidR="000C29B8" w:rsidRDefault="00000000">
      <w:pPr>
        <w:pStyle w:val="afa"/>
        <w:numPr>
          <w:ilvl w:val="0"/>
          <w:numId w:val="55"/>
        </w:numPr>
        <w:tabs>
          <w:tab w:val="left" w:pos="1134"/>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t>本所决定撤销其他风险警示的，上市公司应当按照本所要求在撤销其他风险警示的前一个交易日</w:t>
      </w:r>
      <w:proofErr w:type="gramStart"/>
      <w:r>
        <w:rPr>
          <w:rFonts w:ascii="仿宋_GB2312" w:hAnsi="黑体" w:hint="eastAsia"/>
          <w:sz w:val="32"/>
          <w:szCs w:val="32"/>
        </w:rPr>
        <w:t>作出</w:t>
      </w:r>
      <w:proofErr w:type="gramEnd"/>
      <w:r>
        <w:rPr>
          <w:rFonts w:ascii="仿宋_GB2312" w:hAnsi="黑体" w:hint="eastAsia"/>
          <w:sz w:val="32"/>
          <w:szCs w:val="32"/>
        </w:rPr>
        <w:t>公告。</w:t>
      </w:r>
    </w:p>
    <w:p w14:paraId="061146D1" w14:textId="77777777" w:rsidR="000C29B8" w:rsidRDefault="00000000">
      <w:pPr>
        <w:pStyle w:val="afa"/>
        <w:tabs>
          <w:tab w:val="left" w:pos="1134"/>
          <w:tab w:val="left" w:pos="1560"/>
        </w:tabs>
        <w:snapToGrid w:val="0"/>
        <w:spacing w:line="560" w:lineRule="exact"/>
        <w:ind w:firstLine="640"/>
        <w:rPr>
          <w:rFonts w:ascii="仿宋_GB2312" w:hAnsi="黑体"/>
          <w:sz w:val="32"/>
          <w:szCs w:val="32"/>
        </w:rPr>
      </w:pPr>
      <w:r>
        <w:rPr>
          <w:rFonts w:ascii="仿宋_GB2312" w:hAnsi="黑体" w:hint="eastAsia"/>
          <w:sz w:val="32"/>
          <w:szCs w:val="32"/>
        </w:rPr>
        <w:t>公司股票在公告披露日停牌1天。自复牌之日起，本所撤销对公司股票实施的其他风险警示。</w:t>
      </w:r>
    </w:p>
    <w:p w14:paraId="5FD66ED4" w14:textId="77777777" w:rsidR="000C29B8" w:rsidRDefault="00000000">
      <w:pPr>
        <w:pStyle w:val="afa"/>
        <w:numPr>
          <w:ilvl w:val="0"/>
          <w:numId w:val="55"/>
        </w:numPr>
        <w:tabs>
          <w:tab w:val="left" w:pos="1134"/>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t>本所决定不予撤销其他风险警示的，上市公司应当在收到本所有关书面通知后的次一交易日</w:t>
      </w:r>
      <w:proofErr w:type="gramStart"/>
      <w:r>
        <w:rPr>
          <w:rFonts w:ascii="仿宋_GB2312" w:hAnsi="黑体" w:hint="eastAsia"/>
          <w:sz w:val="32"/>
          <w:szCs w:val="32"/>
        </w:rPr>
        <w:t>作出</w:t>
      </w:r>
      <w:proofErr w:type="gramEnd"/>
      <w:r>
        <w:rPr>
          <w:rFonts w:ascii="仿宋_GB2312" w:hAnsi="黑体" w:hint="eastAsia"/>
          <w:sz w:val="32"/>
          <w:szCs w:val="32"/>
        </w:rPr>
        <w:t>公告。</w:t>
      </w:r>
      <w:r>
        <w:rPr>
          <w:rFonts w:ascii="仿宋_GB2312" w:hAnsi="黑体" w:hint="eastAsia"/>
          <w:sz w:val="32"/>
          <w:szCs w:val="32"/>
        </w:rPr>
        <w:lastRenderedPageBreak/>
        <w:t>公司未按规定公告的，本所可以向市场公告。</w:t>
      </w:r>
    </w:p>
    <w:p w14:paraId="4066AFFB" w14:textId="77777777" w:rsidR="000C29B8" w:rsidRDefault="00000000">
      <w:pPr>
        <w:pStyle w:val="afa"/>
        <w:numPr>
          <w:ilvl w:val="0"/>
          <w:numId w:val="55"/>
        </w:numPr>
        <w:tabs>
          <w:tab w:val="left" w:pos="1134"/>
          <w:tab w:val="left" w:pos="1560"/>
        </w:tabs>
        <w:snapToGrid w:val="0"/>
        <w:spacing w:line="560" w:lineRule="exact"/>
        <w:ind w:left="0" w:firstLine="640"/>
        <w:rPr>
          <w:rFonts w:ascii="仿宋_GB2312" w:hAnsi="黑体"/>
          <w:sz w:val="32"/>
          <w:szCs w:val="32"/>
        </w:rPr>
      </w:pPr>
      <w:r>
        <w:rPr>
          <w:rFonts w:ascii="仿宋_GB2312" w:hAnsi="黑体" w:hint="eastAsia"/>
          <w:sz w:val="32"/>
          <w:szCs w:val="32"/>
        </w:rPr>
        <w:t>上市公司以现金为对价，采用要约方式、集中竞价方式回购股份并注销的，纳入本节所称现金分红金额。</w:t>
      </w:r>
    </w:p>
    <w:p w14:paraId="3E79F86A" w14:textId="77777777" w:rsidR="000C29B8" w:rsidRDefault="00000000">
      <w:pPr>
        <w:pStyle w:val="23"/>
      </w:pPr>
      <w:bookmarkStart w:id="1023" w:name="_Toc28953"/>
      <w:r>
        <w:rPr>
          <w:rFonts w:hint="eastAsia"/>
        </w:rPr>
        <w:t>第十节  再次</w:t>
      </w:r>
      <w:r>
        <w:t>上市</w:t>
      </w:r>
      <w:bookmarkEnd w:id="1023"/>
    </w:p>
    <w:p w14:paraId="683BD83E" w14:textId="77777777" w:rsidR="000C29B8" w:rsidRDefault="00000000">
      <w:pPr>
        <w:pStyle w:val="afa"/>
        <w:numPr>
          <w:ilvl w:val="0"/>
          <w:numId w:val="56"/>
        </w:numPr>
        <w:tabs>
          <w:tab w:val="left" w:pos="1560"/>
        </w:tabs>
        <w:snapToGrid w:val="0"/>
        <w:spacing w:line="560" w:lineRule="exact"/>
        <w:ind w:left="-10" w:firstLineChars="0" w:firstLine="640"/>
        <w:rPr>
          <w:rFonts w:ascii="仿宋_GB2312" w:hAnsi="黑体"/>
          <w:sz w:val="32"/>
          <w:szCs w:val="32"/>
        </w:rPr>
      </w:pPr>
      <w:r>
        <w:rPr>
          <w:rFonts w:ascii="仿宋_GB2312" w:hAnsi="黑体" w:hint="eastAsia"/>
          <w:sz w:val="32"/>
          <w:szCs w:val="32"/>
        </w:rPr>
        <w:t>本所上市公司的股票终止上市后，符合本所规定条件的，可以向本所申请再次上市。</w:t>
      </w:r>
    </w:p>
    <w:p w14:paraId="5AE3A547" w14:textId="77777777" w:rsidR="000C29B8" w:rsidRDefault="00000000">
      <w:pPr>
        <w:pStyle w:val="afa"/>
        <w:numPr>
          <w:ilvl w:val="0"/>
          <w:numId w:val="56"/>
        </w:numPr>
        <w:tabs>
          <w:tab w:val="left" w:pos="1560"/>
        </w:tabs>
        <w:snapToGrid w:val="0"/>
        <w:spacing w:line="560" w:lineRule="exact"/>
        <w:ind w:left="-10" w:firstLineChars="0" w:firstLine="640"/>
        <w:rPr>
          <w:rFonts w:ascii="仿宋_GB2312" w:hAnsi="黑体"/>
          <w:sz w:val="32"/>
          <w:szCs w:val="32"/>
        </w:rPr>
      </w:pPr>
      <w:r>
        <w:rPr>
          <w:rFonts w:ascii="仿宋_GB2312" w:hAnsi="黑体" w:hint="eastAsia"/>
          <w:sz w:val="32"/>
          <w:szCs w:val="32"/>
        </w:rPr>
        <w:t>上市公司因本</w:t>
      </w:r>
      <w:proofErr w:type="gramStart"/>
      <w:r>
        <w:rPr>
          <w:rFonts w:ascii="仿宋_GB2312" w:hAnsi="黑体" w:hint="eastAsia"/>
          <w:sz w:val="32"/>
          <w:szCs w:val="32"/>
        </w:rPr>
        <w:t>规则第12</w:t>
      </w:r>
      <w:proofErr w:type="gramEnd"/>
      <w:r>
        <w:rPr>
          <w:rFonts w:ascii="仿宋_GB2312" w:hAnsi="黑体" w:hint="eastAsia"/>
          <w:sz w:val="32"/>
          <w:szCs w:val="32"/>
        </w:rPr>
        <w:t>.2.2条第一项、第二项规定的欺诈发行情形，其股票被终止上市的，本所不再受理其再次上市申请。</w:t>
      </w:r>
    </w:p>
    <w:p w14:paraId="6A487E11" w14:textId="77777777" w:rsidR="000C29B8" w:rsidRDefault="00000000">
      <w:pPr>
        <w:pStyle w:val="afa"/>
        <w:tabs>
          <w:tab w:val="left" w:pos="1560"/>
        </w:tabs>
        <w:snapToGrid w:val="0"/>
        <w:spacing w:line="560" w:lineRule="exact"/>
        <w:ind w:firstLine="640"/>
        <w:rPr>
          <w:rFonts w:ascii="仿宋_GB2312" w:hAnsi="黑体"/>
          <w:sz w:val="32"/>
          <w:szCs w:val="32"/>
        </w:rPr>
      </w:pPr>
      <w:r>
        <w:rPr>
          <w:rFonts w:ascii="仿宋_GB2312" w:hAnsi="黑体" w:hint="eastAsia"/>
          <w:sz w:val="32"/>
          <w:szCs w:val="32"/>
        </w:rPr>
        <w:t>上市公司因本</w:t>
      </w:r>
      <w:proofErr w:type="gramStart"/>
      <w:r>
        <w:rPr>
          <w:rFonts w:ascii="仿宋_GB2312" w:hAnsi="黑体" w:hint="eastAsia"/>
          <w:sz w:val="32"/>
          <w:szCs w:val="32"/>
        </w:rPr>
        <w:t>规则第12</w:t>
      </w:r>
      <w:proofErr w:type="gramEnd"/>
      <w:r>
        <w:rPr>
          <w:rFonts w:ascii="仿宋_GB2312" w:hAnsi="黑体" w:hint="eastAsia"/>
          <w:sz w:val="32"/>
          <w:szCs w:val="32"/>
        </w:rPr>
        <w:t>.2.2条第三项至第八项和第12.2.3条规定的重大违法等情形，其股票被终止上市的，自其股票进入全国中小企业股份转让系统等证券交易场所转让之日起的5个完整会计年度内，本所不再受理其再次上市申请。公司提交再次上市申请的，应当同时符合下列条件：</w:t>
      </w:r>
    </w:p>
    <w:p w14:paraId="7A1933E1" w14:textId="77777777" w:rsidR="000C29B8" w:rsidRDefault="00000000">
      <w:pPr>
        <w:pStyle w:val="afa"/>
        <w:tabs>
          <w:tab w:val="left" w:pos="1560"/>
        </w:tabs>
        <w:snapToGrid w:val="0"/>
        <w:spacing w:line="560" w:lineRule="exact"/>
        <w:ind w:firstLine="640"/>
        <w:rPr>
          <w:rFonts w:ascii="仿宋_GB2312" w:hAnsi="黑体"/>
          <w:sz w:val="32"/>
          <w:szCs w:val="32"/>
        </w:rPr>
      </w:pPr>
      <w:r>
        <w:rPr>
          <w:rFonts w:ascii="仿宋_GB2312" w:hAnsi="黑体" w:hint="eastAsia"/>
          <w:sz w:val="32"/>
          <w:szCs w:val="32"/>
        </w:rPr>
        <w:t>（一）已全面纠正重大违法行为并符合下列要求：</w:t>
      </w:r>
    </w:p>
    <w:p w14:paraId="33E8398C" w14:textId="77777777" w:rsidR="000C29B8" w:rsidRDefault="00000000">
      <w:pPr>
        <w:pStyle w:val="afa"/>
        <w:tabs>
          <w:tab w:val="left" w:pos="1560"/>
        </w:tabs>
        <w:snapToGrid w:val="0"/>
        <w:spacing w:line="560" w:lineRule="exact"/>
        <w:ind w:firstLine="640"/>
        <w:rPr>
          <w:rFonts w:ascii="仿宋_GB2312" w:hAnsi="黑体"/>
          <w:sz w:val="32"/>
          <w:szCs w:val="32"/>
        </w:rPr>
      </w:pPr>
      <w:r>
        <w:rPr>
          <w:rFonts w:ascii="仿宋_GB2312" w:hAnsi="黑体" w:hint="eastAsia"/>
          <w:sz w:val="32"/>
          <w:szCs w:val="32"/>
        </w:rPr>
        <w:t>1.公司已就重大信息披露违法行为所涉事项披露补充或更正公告；</w:t>
      </w:r>
    </w:p>
    <w:p w14:paraId="6EF47E9B" w14:textId="77777777" w:rsidR="000C29B8" w:rsidRDefault="00000000">
      <w:pPr>
        <w:pStyle w:val="afa"/>
        <w:tabs>
          <w:tab w:val="left" w:pos="1560"/>
        </w:tabs>
        <w:snapToGrid w:val="0"/>
        <w:spacing w:line="560" w:lineRule="exact"/>
        <w:ind w:firstLine="640"/>
        <w:rPr>
          <w:rFonts w:ascii="仿宋_GB2312" w:hAnsi="黑体"/>
          <w:sz w:val="32"/>
          <w:szCs w:val="32"/>
        </w:rPr>
      </w:pPr>
      <w:r>
        <w:rPr>
          <w:rFonts w:ascii="仿宋_GB2312" w:hAnsi="黑体" w:hint="eastAsia"/>
          <w:sz w:val="32"/>
          <w:szCs w:val="32"/>
        </w:rPr>
        <w:t>2.对重大违法行为的责任追究已处理完毕；</w:t>
      </w:r>
    </w:p>
    <w:p w14:paraId="34A9FCD7" w14:textId="77777777" w:rsidR="000C29B8" w:rsidRDefault="00000000">
      <w:pPr>
        <w:pStyle w:val="afa"/>
        <w:tabs>
          <w:tab w:val="left" w:pos="1560"/>
        </w:tabs>
        <w:snapToGrid w:val="0"/>
        <w:spacing w:line="560" w:lineRule="exact"/>
        <w:ind w:firstLine="640"/>
        <w:rPr>
          <w:rFonts w:ascii="仿宋_GB2312" w:hAnsi="黑体"/>
          <w:sz w:val="32"/>
          <w:szCs w:val="32"/>
        </w:rPr>
      </w:pPr>
      <w:r>
        <w:rPr>
          <w:rFonts w:ascii="仿宋_GB2312" w:hAnsi="黑体" w:hint="eastAsia"/>
          <w:sz w:val="32"/>
          <w:szCs w:val="32"/>
        </w:rPr>
        <w:t>3.公司已就重大违法行为所涉事项补充履行相关决策程序；</w:t>
      </w:r>
    </w:p>
    <w:p w14:paraId="785599BF" w14:textId="77777777" w:rsidR="000C29B8" w:rsidRDefault="00000000">
      <w:pPr>
        <w:pStyle w:val="afa"/>
        <w:tabs>
          <w:tab w:val="left" w:pos="1560"/>
        </w:tabs>
        <w:snapToGrid w:val="0"/>
        <w:spacing w:line="560" w:lineRule="exact"/>
        <w:ind w:firstLine="640"/>
        <w:rPr>
          <w:rFonts w:ascii="仿宋_GB2312" w:hAnsi="黑体"/>
          <w:sz w:val="32"/>
          <w:szCs w:val="32"/>
        </w:rPr>
      </w:pPr>
      <w:r>
        <w:rPr>
          <w:rFonts w:ascii="仿宋_GB2312" w:hAnsi="黑体" w:hint="eastAsia"/>
          <w:sz w:val="32"/>
          <w:szCs w:val="32"/>
        </w:rPr>
        <w:t>4.公司控股股东、实际控制人等相关责任主体对公司因重大违法行为发生的损失已</w:t>
      </w:r>
      <w:proofErr w:type="gramStart"/>
      <w:r>
        <w:rPr>
          <w:rFonts w:ascii="仿宋_GB2312" w:hAnsi="黑体" w:hint="eastAsia"/>
          <w:sz w:val="32"/>
          <w:szCs w:val="32"/>
        </w:rPr>
        <w:t>作出</w:t>
      </w:r>
      <w:proofErr w:type="gramEnd"/>
      <w:r>
        <w:rPr>
          <w:rFonts w:ascii="仿宋_GB2312" w:hAnsi="黑体" w:hint="eastAsia"/>
          <w:sz w:val="32"/>
          <w:szCs w:val="32"/>
        </w:rPr>
        <w:t>补偿；</w:t>
      </w:r>
    </w:p>
    <w:p w14:paraId="06F825D5" w14:textId="77777777" w:rsidR="000C29B8" w:rsidRDefault="00000000">
      <w:pPr>
        <w:pStyle w:val="afa"/>
        <w:tabs>
          <w:tab w:val="left" w:pos="1560"/>
        </w:tabs>
        <w:snapToGrid w:val="0"/>
        <w:spacing w:line="560" w:lineRule="exact"/>
        <w:ind w:firstLine="640"/>
        <w:rPr>
          <w:rFonts w:ascii="仿宋_GB2312" w:hAnsi="黑体"/>
          <w:sz w:val="32"/>
          <w:szCs w:val="32"/>
        </w:rPr>
      </w:pPr>
      <w:r>
        <w:rPr>
          <w:rFonts w:ascii="仿宋_GB2312" w:hAnsi="黑体" w:hint="eastAsia"/>
          <w:sz w:val="32"/>
          <w:szCs w:val="32"/>
        </w:rPr>
        <w:t>5.重大违法行为可能引发的与公司相关的风险因素已消除。</w:t>
      </w:r>
    </w:p>
    <w:p w14:paraId="78D01027" w14:textId="77777777" w:rsidR="000C29B8" w:rsidRDefault="00000000">
      <w:pPr>
        <w:pStyle w:val="afa"/>
        <w:tabs>
          <w:tab w:val="left" w:pos="1560"/>
        </w:tabs>
        <w:snapToGrid w:val="0"/>
        <w:spacing w:line="560" w:lineRule="exact"/>
        <w:ind w:firstLine="640"/>
        <w:rPr>
          <w:rFonts w:ascii="仿宋_GB2312" w:hAnsi="黑体"/>
          <w:sz w:val="32"/>
          <w:szCs w:val="32"/>
        </w:rPr>
      </w:pPr>
      <w:r>
        <w:rPr>
          <w:rFonts w:ascii="仿宋_GB2312" w:hAnsi="黑体" w:hint="eastAsia"/>
          <w:sz w:val="32"/>
          <w:szCs w:val="32"/>
        </w:rPr>
        <w:lastRenderedPageBreak/>
        <w:t>（二）已撤换下列与重大违法行为有关的责任人员：</w:t>
      </w:r>
    </w:p>
    <w:p w14:paraId="610895B6" w14:textId="77777777" w:rsidR="000C29B8" w:rsidRDefault="00000000">
      <w:pPr>
        <w:pStyle w:val="afa"/>
        <w:tabs>
          <w:tab w:val="left" w:pos="1560"/>
        </w:tabs>
        <w:snapToGrid w:val="0"/>
        <w:spacing w:line="560" w:lineRule="exact"/>
        <w:ind w:firstLine="640"/>
        <w:rPr>
          <w:rFonts w:ascii="仿宋_GB2312" w:hAnsi="黑体"/>
          <w:sz w:val="32"/>
          <w:szCs w:val="32"/>
        </w:rPr>
      </w:pPr>
      <w:r>
        <w:rPr>
          <w:rFonts w:ascii="仿宋_GB2312" w:hAnsi="黑体" w:hint="eastAsia"/>
          <w:sz w:val="32"/>
          <w:szCs w:val="32"/>
        </w:rPr>
        <w:t>1.被人民法院判决有罪的有关人员；</w:t>
      </w:r>
    </w:p>
    <w:p w14:paraId="2164568A" w14:textId="77777777" w:rsidR="000C29B8" w:rsidRDefault="00000000">
      <w:pPr>
        <w:pStyle w:val="afa"/>
        <w:tabs>
          <w:tab w:val="left" w:pos="1560"/>
        </w:tabs>
        <w:snapToGrid w:val="0"/>
        <w:spacing w:line="560" w:lineRule="exact"/>
        <w:ind w:firstLine="640"/>
        <w:rPr>
          <w:rFonts w:ascii="仿宋_GB2312" w:hAnsi="黑体"/>
          <w:sz w:val="32"/>
          <w:szCs w:val="32"/>
        </w:rPr>
      </w:pPr>
      <w:r>
        <w:rPr>
          <w:rFonts w:ascii="仿宋_GB2312" w:hAnsi="黑体" w:hint="eastAsia"/>
          <w:sz w:val="32"/>
          <w:szCs w:val="32"/>
        </w:rPr>
        <w:t>2.被相关行政机关行政处罚的有关人员；</w:t>
      </w:r>
    </w:p>
    <w:p w14:paraId="2158A36F" w14:textId="77777777" w:rsidR="000C29B8" w:rsidRDefault="00000000">
      <w:pPr>
        <w:pStyle w:val="afa"/>
        <w:tabs>
          <w:tab w:val="left" w:pos="1560"/>
        </w:tabs>
        <w:snapToGrid w:val="0"/>
        <w:spacing w:line="560" w:lineRule="exact"/>
        <w:ind w:firstLine="640"/>
        <w:rPr>
          <w:rFonts w:ascii="仿宋_GB2312" w:hAnsi="黑体"/>
          <w:sz w:val="32"/>
          <w:szCs w:val="32"/>
        </w:rPr>
      </w:pPr>
      <w:r>
        <w:rPr>
          <w:rFonts w:ascii="仿宋_GB2312" w:hAnsi="黑体" w:hint="eastAsia"/>
          <w:sz w:val="32"/>
          <w:szCs w:val="32"/>
        </w:rPr>
        <w:t>3.被相关行政机关依法移送公安机关立案调查的有关人员；</w:t>
      </w:r>
    </w:p>
    <w:p w14:paraId="60828EBF" w14:textId="77777777" w:rsidR="000C29B8" w:rsidRDefault="00000000">
      <w:pPr>
        <w:pStyle w:val="afa"/>
        <w:tabs>
          <w:tab w:val="left" w:pos="1560"/>
        </w:tabs>
        <w:snapToGrid w:val="0"/>
        <w:spacing w:line="560" w:lineRule="exact"/>
        <w:ind w:firstLine="640"/>
        <w:rPr>
          <w:rFonts w:ascii="仿宋_GB2312" w:hAnsi="黑体"/>
          <w:sz w:val="32"/>
          <w:szCs w:val="32"/>
        </w:rPr>
      </w:pPr>
      <w:r>
        <w:rPr>
          <w:rFonts w:ascii="仿宋_GB2312" w:hAnsi="黑体" w:hint="eastAsia"/>
          <w:sz w:val="32"/>
          <w:szCs w:val="32"/>
        </w:rPr>
        <w:t>4.中国证监会、本所认定的与重大违法行为有关的其他责任人员。</w:t>
      </w:r>
    </w:p>
    <w:p w14:paraId="0BAB22C9" w14:textId="77777777" w:rsidR="000C29B8" w:rsidRDefault="00000000">
      <w:pPr>
        <w:pStyle w:val="afa"/>
        <w:tabs>
          <w:tab w:val="left" w:pos="1560"/>
        </w:tabs>
        <w:snapToGrid w:val="0"/>
        <w:spacing w:line="560" w:lineRule="exact"/>
        <w:ind w:firstLine="640"/>
        <w:rPr>
          <w:rFonts w:ascii="仿宋_GB2312" w:hAnsi="黑体"/>
          <w:sz w:val="32"/>
          <w:szCs w:val="32"/>
        </w:rPr>
      </w:pPr>
      <w:r>
        <w:rPr>
          <w:rFonts w:ascii="仿宋_GB2312" w:hAnsi="黑体" w:hint="eastAsia"/>
          <w:sz w:val="32"/>
          <w:szCs w:val="32"/>
        </w:rPr>
        <w:t>（三）已对相关民事赔偿承担做出妥善安排并符合下列要求：</w:t>
      </w:r>
    </w:p>
    <w:p w14:paraId="3F6233FD" w14:textId="77777777" w:rsidR="000C29B8" w:rsidRDefault="00000000">
      <w:pPr>
        <w:pStyle w:val="afa"/>
        <w:tabs>
          <w:tab w:val="left" w:pos="1560"/>
        </w:tabs>
        <w:snapToGrid w:val="0"/>
        <w:spacing w:line="560" w:lineRule="exact"/>
        <w:ind w:firstLine="640"/>
        <w:rPr>
          <w:rFonts w:ascii="仿宋_GB2312" w:hAnsi="黑体"/>
          <w:sz w:val="32"/>
          <w:szCs w:val="32"/>
        </w:rPr>
      </w:pPr>
      <w:r>
        <w:rPr>
          <w:rFonts w:ascii="仿宋_GB2312" w:hAnsi="黑体" w:hint="eastAsia"/>
          <w:sz w:val="32"/>
          <w:szCs w:val="32"/>
        </w:rPr>
        <w:t>1.相关赔偿事项已由人民法院</w:t>
      </w:r>
      <w:proofErr w:type="gramStart"/>
      <w:r>
        <w:rPr>
          <w:rFonts w:ascii="仿宋_GB2312" w:hAnsi="黑体" w:hint="eastAsia"/>
          <w:sz w:val="32"/>
          <w:szCs w:val="32"/>
        </w:rPr>
        <w:t>作出</w:t>
      </w:r>
      <w:proofErr w:type="gramEnd"/>
      <w:r>
        <w:rPr>
          <w:rFonts w:ascii="仿宋_GB2312" w:hAnsi="黑体" w:hint="eastAsia"/>
          <w:sz w:val="32"/>
          <w:szCs w:val="32"/>
        </w:rPr>
        <w:t>判决的，该判决已执行完毕；</w:t>
      </w:r>
    </w:p>
    <w:p w14:paraId="357148E0" w14:textId="77777777" w:rsidR="000C29B8" w:rsidRDefault="00000000">
      <w:pPr>
        <w:pStyle w:val="afa"/>
        <w:tabs>
          <w:tab w:val="left" w:pos="1560"/>
        </w:tabs>
        <w:snapToGrid w:val="0"/>
        <w:spacing w:line="560" w:lineRule="exact"/>
        <w:ind w:firstLine="640"/>
        <w:rPr>
          <w:rFonts w:ascii="仿宋_GB2312" w:hAnsi="黑体"/>
          <w:sz w:val="32"/>
          <w:szCs w:val="32"/>
        </w:rPr>
      </w:pPr>
      <w:r>
        <w:rPr>
          <w:rFonts w:ascii="仿宋_GB2312" w:hAnsi="黑体" w:hint="eastAsia"/>
          <w:sz w:val="32"/>
          <w:szCs w:val="32"/>
        </w:rPr>
        <w:t>2.相关赔偿事项未由人民法院</w:t>
      </w:r>
      <w:proofErr w:type="gramStart"/>
      <w:r>
        <w:rPr>
          <w:rFonts w:ascii="仿宋_GB2312" w:hAnsi="黑体" w:hint="eastAsia"/>
          <w:sz w:val="32"/>
          <w:szCs w:val="32"/>
        </w:rPr>
        <w:t>作出</w:t>
      </w:r>
      <w:proofErr w:type="gramEnd"/>
      <w:r>
        <w:rPr>
          <w:rFonts w:ascii="仿宋_GB2312" w:hAnsi="黑体" w:hint="eastAsia"/>
          <w:sz w:val="32"/>
          <w:szCs w:val="32"/>
        </w:rPr>
        <w:t>判决，但已达成和解的，该和解协议已执行完毕；</w:t>
      </w:r>
    </w:p>
    <w:p w14:paraId="56059CA7" w14:textId="77777777" w:rsidR="000C29B8" w:rsidRDefault="00000000">
      <w:pPr>
        <w:pStyle w:val="afa"/>
        <w:tabs>
          <w:tab w:val="left" w:pos="1560"/>
        </w:tabs>
        <w:snapToGrid w:val="0"/>
        <w:spacing w:line="560" w:lineRule="exact"/>
        <w:ind w:firstLine="640"/>
        <w:rPr>
          <w:rFonts w:ascii="仿宋_GB2312" w:hAnsi="黑体"/>
          <w:sz w:val="32"/>
          <w:szCs w:val="32"/>
        </w:rPr>
      </w:pPr>
      <w:r>
        <w:rPr>
          <w:rFonts w:ascii="仿宋_GB2312" w:hAnsi="黑体" w:hint="eastAsia"/>
          <w:sz w:val="32"/>
          <w:szCs w:val="32"/>
        </w:rPr>
        <w:t>3.相关赔偿事项未由人民法院</w:t>
      </w:r>
      <w:proofErr w:type="gramStart"/>
      <w:r>
        <w:rPr>
          <w:rFonts w:ascii="仿宋_GB2312" w:hAnsi="黑体" w:hint="eastAsia"/>
          <w:sz w:val="32"/>
          <w:szCs w:val="32"/>
        </w:rPr>
        <w:t>作出</w:t>
      </w:r>
      <w:proofErr w:type="gramEnd"/>
      <w:r>
        <w:rPr>
          <w:rFonts w:ascii="仿宋_GB2312" w:hAnsi="黑体" w:hint="eastAsia"/>
          <w:sz w:val="32"/>
          <w:szCs w:val="32"/>
        </w:rPr>
        <w:t>判决，且也未达成和解的，公司及相关责任主体已按预计最高索赔金额计提赔偿基金，并将足额资金划入专项账户，且公司的控股股东和实际控制人已承诺：</w:t>
      </w:r>
      <w:proofErr w:type="gramStart"/>
      <w:r>
        <w:rPr>
          <w:rFonts w:ascii="仿宋_GB2312" w:hAnsi="黑体" w:hint="eastAsia"/>
          <w:sz w:val="32"/>
          <w:szCs w:val="32"/>
        </w:rPr>
        <w:t>若赔偿</w:t>
      </w:r>
      <w:proofErr w:type="gramEnd"/>
      <w:r>
        <w:rPr>
          <w:rFonts w:ascii="仿宋_GB2312" w:hAnsi="黑体" w:hint="eastAsia"/>
          <w:sz w:val="32"/>
          <w:szCs w:val="32"/>
        </w:rPr>
        <w:t>基金不足赔付，其将予以补足。</w:t>
      </w:r>
    </w:p>
    <w:p w14:paraId="3057A65C" w14:textId="77777777" w:rsidR="000C29B8" w:rsidRDefault="00000000">
      <w:pPr>
        <w:pStyle w:val="afa"/>
        <w:tabs>
          <w:tab w:val="left" w:pos="1560"/>
        </w:tabs>
        <w:snapToGrid w:val="0"/>
        <w:spacing w:line="560" w:lineRule="exact"/>
        <w:ind w:firstLine="640"/>
        <w:rPr>
          <w:rFonts w:ascii="仿宋_GB2312" w:hAnsi="黑体"/>
          <w:sz w:val="32"/>
          <w:szCs w:val="32"/>
        </w:rPr>
      </w:pPr>
      <w:r>
        <w:rPr>
          <w:rFonts w:ascii="仿宋_GB2312" w:hAnsi="黑体" w:hint="eastAsia"/>
          <w:sz w:val="32"/>
          <w:szCs w:val="32"/>
        </w:rPr>
        <w:t>（四）不存在本规则规定的终止上市情形。</w:t>
      </w:r>
    </w:p>
    <w:p w14:paraId="2D95DC48" w14:textId="77777777" w:rsidR="000C29B8" w:rsidRDefault="00000000">
      <w:pPr>
        <w:pStyle w:val="afa"/>
        <w:tabs>
          <w:tab w:val="left" w:pos="1560"/>
        </w:tabs>
        <w:snapToGrid w:val="0"/>
        <w:spacing w:line="560" w:lineRule="exact"/>
        <w:ind w:firstLine="640"/>
        <w:rPr>
          <w:rFonts w:ascii="仿宋_GB2312" w:hAnsi="黑体"/>
          <w:sz w:val="32"/>
          <w:szCs w:val="32"/>
        </w:rPr>
      </w:pPr>
      <w:r>
        <w:rPr>
          <w:rFonts w:ascii="仿宋_GB2312" w:hAnsi="黑体" w:hint="eastAsia"/>
          <w:sz w:val="32"/>
          <w:szCs w:val="32"/>
        </w:rPr>
        <w:t>（五）公司聘请的再次上市保荐机构、律师事务所已对前述4项条件所述情况进行核查验证，并出具专项核查意见，明确认定公司已完全符合前述4项条件。</w:t>
      </w:r>
    </w:p>
    <w:p w14:paraId="69308D39" w14:textId="77777777" w:rsidR="000C29B8" w:rsidRDefault="00000000">
      <w:pPr>
        <w:pStyle w:val="afa"/>
        <w:numPr>
          <w:ilvl w:val="0"/>
          <w:numId w:val="56"/>
        </w:numPr>
        <w:tabs>
          <w:tab w:val="left" w:pos="1560"/>
        </w:tabs>
        <w:snapToGrid w:val="0"/>
        <w:spacing w:line="560" w:lineRule="exact"/>
        <w:ind w:left="-10" w:firstLineChars="0" w:firstLine="640"/>
        <w:rPr>
          <w:rFonts w:ascii="仿宋_GB2312" w:hAnsi="黑体"/>
          <w:sz w:val="32"/>
          <w:szCs w:val="32"/>
        </w:rPr>
      </w:pPr>
      <w:r>
        <w:rPr>
          <w:rFonts w:ascii="仿宋_GB2312" w:hAnsi="黑体" w:hint="eastAsia"/>
          <w:sz w:val="32"/>
          <w:szCs w:val="32"/>
        </w:rPr>
        <w:t>上市公司股票被强制终止上市后，公司不配合退市相关工作，或者未按本规则的规定履行相关义务的，本所自其股票进入全国中小企业股份转让系统等证券交易</w:t>
      </w:r>
      <w:r>
        <w:rPr>
          <w:rFonts w:ascii="仿宋_GB2312" w:hAnsi="黑体" w:hint="eastAsia"/>
          <w:sz w:val="32"/>
          <w:szCs w:val="32"/>
        </w:rPr>
        <w:lastRenderedPageBreak/>
        <w:t>场所转让之日起36个月内不受理其再次上市申请。</w:t>
      </w:r>
    </w:p>
    <w:p w14:paraId="06A6A019" w14:textId="77777777" w:rsidR="000C29B8" w:rsidRDefault="00000000">
      <w:pPr>
        <w:pStyle w:val="afa"/>
        <w:numPr>
          <w:ilvl w:val="0"/>
          <w:numId w:val="56"/>
        </w:numPr>
        <w:tabs>
          <w:tab w:val="left" w:pos="1560"/>
        </w:tabs>
        <w:snapToGrid w:val="0"/>
        <w:spacing w:line="560" w:lineRule="exact"/>
        <w:ind w:left="-10" w:firstLineChars="0" w:firstLine="640"/>
        <w:rPr>
          <w:rFonts w:ascii="仿宋_GB2312" w:hAnsi="黑体"/>
          <w:sz w:val="32"/>
          <w:szCs w:val="32"/>
        </w:rPr>
      </w:pPr>
      <w:r>
        <w:rPr>
          <w:rFonts w:ascii="仿宋_GB2312" w:hAnsi="黑体" w:hint="eastAsia"/>
          <w:sz w:val="32"/>
          <w:szCs w:val="32"/>
        </w:rPr>
        <w:t>上市公司主动退市的，可以随时向本所提出再次上市申请。</w:t>
      </w:r>
    </w:p>
    <w:p w14:paraId="41589122" w14:textId="77777777" w:rsidR="000C29B8" w:rsidRDefault="00000000">
      <w:pPr>
        <w:pStyle w:val="afa"/>
        <w:numPr>
          <w:ilvl w:val="0"/>
          <w:numId w:val="56"/>
        </w:numPr>
        <w:tabs>
          <w:tab w:val="left" w:pos="1560"/>
        </w:tabs>
        <w:snapToGrid w:val="0"/>
        <w:spacing w:line="560" w:lineRule="exact"/>
        <w:ind w:left="-10" w:firstLineChars="0" w:firstLine="640"/>
        <w:rPr>
          <w:rFonts w:ascii="仿宋_GB2312" w:hAnsi="黑体"/>
          <w:sz w:val="32"/>
          <w:szCs w:val="32"/>
        </w:rPr>
      </w:pPr>
      <w:r>
        <w:rPr>
          <w:rFonts w:ascii="仿宋_GB2312" w:hAnsi="黑体" w:hint="eastAsia"/>
          <w:sz w:val="32"/>
          <w:szCs w:val="32"/>
        </w:rPr>
        <w:t>退市公司申请再次上市，应当按照中国证监会、本所有关规定制作申请文件，依法由保荐机构保荐并向本所申报。本所审核部门负责审核退市公司再次上市申请。</w:t>
      </w:r>
    </w:p>
    <w:p w14:paraId="7DC4AC13" w14:textId="77777777" w:rsidR="000C29B8" w:rsidRDefault="00000000">
      <w:pPr>
        <w:pStyle w:val="afa"/>
        <w:numPr>
          <w:ilvl w:val="0"/>
          <w:numId w:val="56"/>
        </w:numPr>
        <w:tabs>
          <w:tab w:val="left" w:pos="1560"/>
        </w:tabs>
        <w:snapToGrid w:val="0"/>
        <w:spacing w:line="560" w:lineRule="exact"/>
        <w:ind w:left="-10" w:firstLineChars="0" w:firstLine="640"/>
        <w:rPr>
          <w:rFonts w:ascii="仿宋_GB2312" w:hAnsi="黑体"/>
          <w:sz w:val="32"/>
          <w:szCs w:val="32"/>
        </w:rPr>
      </w:pPr>
      <w:r>
        <w:rPr>
          <w:rFonts w:ascii="仿宋_GB2312" w:hAnsi="黑体" w:hint="eastAsia"/>
          <w:sz w:val="32"/>
          <w:szCs w:val="32"/>
        </w:rPr>
        <w:t>再次上市的其他事宜，由本所另行规定。</w:t>
      </w:r>
    </w:p>
    <w:p w14:paraId="7D0A563A" w14:textId="77777777" w:rsidR="000C29B8" w:rsidRDefault="000C29B8">
      <w:pPr>
        <w:tabs>
          <w:tab w:val="left" w:pos="1560"/>
        </w:tabs>
        <w:snapToGrid w:val="0"/>
        <w:spacing w:line="560" w:lineRule="exact"/>
        <w:rPr>
          <w:rFonts w:ascii="仿宋_GB2312" w:eastAsia="仿宋_GB2312" w:hAnsi="黑体"/>
          <w:sz w:val="32"/>
          <w:szCs w:val="32"/>
        </w:rPr>
      </w:pPr>
    </w:p>
    <w:p w14:paraId="109ADCB2" w14:textId="77777777" w:rsidR="000C29B8" w:rsidRDefault="00000000">
      <w:pPr>
        <w:pStyle w:val="7"/>
        <w:numPr>
          <w:ilvl w:val="0"/>
          <w:numId w:val="1"/>
        </w:numPr>
        <w:ind w:left="0" w:firstLine="643"/>
        <w:rPr>
          <w:b/>
        </w:rPr>
      </w:pPr>
      <w:bookmarkStart w:id="1024" w:name="_Toc17049"/>
      <w:r>
        <w:rPr>
          <w:rFonts w:hint="eastAsia"/>
          <w:b/>
        </w:rPr>
        <w:t>红</w:t>
      </w:r>
      <w:proofErr w:type="gramStart"/>
      <w:r>
        <w:rPr>
          <w:rFonts w:hint="eastAsia"/>
          <w:b/>
        </w:rPr>
        <w:t>筹企业</w:t>
      </w:r>
      <w:proofErr w:type="gramEnd"/>
      <w:r>
        <w:rPr>
          <w:rFonts w:hint="eastAsia"/>
          <w:b/>
        </w:rPr>
        <w:t>和境内外事项的协调</w:t>
      </w:r>
      <w:bookmarkEnd w:id="1024"/>
    </w:p>
    <w:p w14:paraId="20114240" w14:textId="77777777" w:rsidR="000C29B8" w:rsidRDefault="00000000">
      <w:pPr>
        <w:pStyle w:val="23"/>
        <w:numPr>
          <w:ilvl w:val="1"/>
          <w:numId w:val="1"/>
        </w:numPr>
        <w:ind w:left="0" w:firstLine="643"/>
      </w:pPr>
      <w:bookmarkStart w:id="1025" w:name="_Toc31599"/>
      <w:r>
        <w:rPr>
          <w:rFonts w:hint="eastAsia"/>
        </w:rPr>
        <w:t>红</w:t>
      </w:r>
      <w:proofErr w:type="gramStart"/>
      <w:r>
        <w:rPr>
          <w:rFonts w:hint="eastAsia"/>
        </w:rPr>
        <w:t>筹企业</w:t>
      </w:r>
      <w:proofErr w:type="gramEnd"/>
      <w:r>
        <w:rPr>
          <w:rFonts w:hint="eastAsia"/>
        </w:rPr>
        <w:t>特别规定</w:t>
      </w:r>
      <w:bookmarkEnd w:id="1025"/>
    </w:p>
    <w:p w14:paraId="512763D2" w14:textId="77777777" w:rsidR="000C29B8" w:rsidRDefault="00000000">
      <w:pPr>
        <w:pStyle w:val="afa"/>
        <w:numPr>
          <w:ilvl w:val="0"/>
          <w:numId w:val="57"/>
        </w:numPr>
        <w:spacing w:line="560" w:lineRule="exact"/>
        <w:ind w:left="0" w:firstLine="640"/>
        <w:rPr>
          <w:rFonts w:ascii="仿宋_GB2312" w:cs="仿宋_GB2312"/>
          <w:sz w:val="32"/>
          <w:szCs w:val="32"/>
          <w:lang w:val="zh-CN"/>
        </w:rPr>
      </w:pPr>
      <w:r>
        <w:rPr>
          <w:rFonts w:ascii="仿宋_GB2312" w:cs="仿宋_GB2312" w:hint="eastAsia"/>
          <w:sz w:val="32"/>
          <w:szCs w:val="32"/>
          <w:lang w:val="zh-CN"/>
        </w:rPr>
        <w:t>红</w:t>
      </w:r>
      <w:proofErr w:type="gramStart"/>
      <w:r>
        <w:rPr>
          <w:rFonts w:ascii="仿宋_GB2312" w:cs="仿宋_GB2312" w:hint="eastAsia"/>
          <w:sz w:val="32"/>
          <w:szCs w:val="32"/>
          <w:lang w:val="zh-CN"/>
        </w:rPr>
        <w:t>筹企业</w:t>
      </w:r>
      <w:proofErr w:type="gramEnd"/>
      <w:r>
        <w:rPr>
          <w:rFonts w:ascii="仿宋_GB2312" w:cs="仿宋_GB2312" w:hint="eastAsia"/>
          <w:sz w:val="32"/>
          <w:szCs w:val="32"/>
          <w:lang w:val="zh-CN"/>
        </w:rPr>
        <w:t>申请发行股票或者存托凭证并在</w:t>
      </w:r>
      <w:proofErr w:type="gramStart"/>
      <w:r>
        <w:rPr>
          <w:rFonts w:ascii="仿宋_GB2312" w:cs="仿宋_GB2312" w:hint="eastAsia"/>
          <w:sz w:val="32"/>
          <w:szCs w:val="32"/>
          <w:lang w:val="zh-CN"/>
        </w:rPr>
        <w:t>科创板</w:t>
      </w:r>
      <w:proofErr w:type="gramEnd"/>
      <w:r>
        <w:rPr>
          <w:rFonts w:ascii="仿宋_GB2312" w:cs="仿宋_GB2312" w:hint="eastAsia"/>
          <w:sz w:val="32"/>
          <w:szCs w:val="32"/>
          <w:lang w:val="zh-CN"/>
        </w:rPr>
        <w:t>上市的，适用中国证监会、本所关于发行上市审核注册程序的规定。</w:t>
      </w:r>
    </w:p>
    <w:p w14:paraId="6F2D4F92" w14:textId="77777777" w:rsidR="000C29B8" w:rsidRDefault="00000000">
      <w:pPr>
        <w:pStyle w:val="afa"/>
        <w:numPr>
          <w:ilvl w:val="0"/>
          <w:numId w:val="57"/>
        </w:numPr>
        <w:spacing w:line="560" w:lineRule="exact"/>
        <w:ind w:left="0" w:firstLine="640"/>
        <w:rPr>
          <w:rFonts w:ascii="仿宋_GB2312" w:cs="仿宋_GB2312"/>
          <w:sz w:val="32"/>
          <w:szCs w:val="32"/>
          <w:lang w:val="zh-CN"/>
        </w:rPr>
      </w:pPr>
      <w:r>
        <w:rPr>
          <w:rFonts w:ascii="仿宋_GB2312" w:cs="仿宋_GB2312" w:hint="eastAsia"/>
          <w:sz w:val="32"/>
          <w:szCs w:val="32"/>
          <w:lang w:val="zh-CN"/>
        </w:rPr>
        <w:t>红</w:t>
      </w:r>
      <w:proofErr w:type="gramStart"/>
      <w:r>
        <w:rPr>
          <w:rFonts w:ascii="仿宋_GB2312" w:cs="仿宋_GB2312" w:hint="eastAsia"/>
          <w:sz w:val="32"/>
          <w:szCs w:val="32"/>
          <w:lang w:val="zh-CN"/>
        </w:rPr>
        <w:t>筹企业</w:t>
      </w:r>
      <w:proofErr w:type="gramEnd"/>
      <w:r>
        <w:rPr>
          <w:rFonts w:ascii="仿宋_GB2312" w:cs="仿宋_GB2312" w:hint="eastAsia"/>
          <w:sz w:val="32"/>
          <w:szCs w:val="32"/>
          <w:lang w:val="zh-CN"/>
        </w:rPr>
        <w:t>申请其在境内首次公开发行的股票上市的，应当根据《上海证券交易所科创板股票发行上市审核规则》的规定，取得本所出具的同意发行上市审核意见并</w:t>
      </w:r>
      <w:r>
        <w:rPr>
          <w:rFonts w:ascii="仿宋_GB2312" w:hAnsi="宋体" w:hint="eastAsia"/>
          <w:sz w:val="32"/>
          <w:szCs w:val="32"/>
        </w:rPr>
        <w:t>由中国证监会</w:t>
      </w:r>
      <w:proofErr w:type="gramStart"/>
      <w:r>
        <w:rPr>
          <w:rFonts w:ascii="仿宋_GB2312" w:hAnsi="宋体" w:hint="eastAsia"/>
          <w:sz w:val="32"/>
          <w:szCs w:val="32"/>
        </w:rPr>
        <w:t>作出</w:t>
      </w:r>
      <w:proofErr w:type="gramEnd"/>
      <w:r>
        <w:rPr>
          <w:rFonts w:ascii="仿宋_GB2312" w:hAnsi="宋体" w:hint="eastAsia"/>
          <w:sz w:val="32"/>
          <w:szCs w:val="32"/>
        </w:rPr>
        <w:t>同意注册决定</w:t>
      </w:r>
      <w:r>
        <w:rPr>
          <w:rFonts w:ascii="仿宋_GB2312" w:cs="仿宋_GB2312" w:hint="eastAsia"/>
          <w:sz w:val="32"/>
          <w:szCs w:val="32"/>
          <w:lang w:val="zh-CN"/>
        </w:rPr>
        <w:t>。</w:t>
      </w:r>
    </w:p>
    <w:p w14:paraId="38527D8A" w14:textId="77777777" w:rsidR="000C29B8" w:rsidRDefault="00000000">
      <w:pPr>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红</w:t>
      </w:r>
      <w:proofErr w:type="gramStart"/>
      <w:r>
        <w:rPr>
          <w:rFonts w:ascii="仿宋_GB2312" w:eastAsia="仿宋_GB2312" w:cs="仿宋_GB2312" w:hint="eastAsia"/>
          <w:sz w:val="32"/>
          <w:szCs w:val="32"/>
          <w:lang w:val="zh-CN"/>
        </w:rPr>
        <w:t>筹企业</w:t>
      </w:r>
      <w:proofErr w:type="gramEnd"/>
      <w:r>
        <w:rPr>
          <w:rFonts w:ascii="仿宋_GB2312" w:eastAsia="仿宋_GB2312" w:cs="仿宋_GB2312" w:hint="eastAsia"/>
          <w:sz w:val="32"/>
          <w:szCs w:val="32"/>
          <w:lang w:val="zh-CN"/>
        </w:rPr>
        <w:t>在境内发行存托凭证并上市的，还应当提交本次发行的存托凭证已经中国结算存管的证明文件、经签署的存托协议、托管协议文本以及托管人出具的存托凭证所对应基础证券的托管凭证等文件。</w:t>
      </w:r>
    </w:p>
    <w:p w14:paraId="4FA6E761" w14:textId="77777777" w:rsidR="000C29B8" w:rsidRDefault="00000000">
      <w:pPr>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根据公司注册地公司法等法律法规和公司章程或者章程性文件（以下简称公司章程）规定，红</w:t>
      </w:r>
      <w:proofErr w:type="gramStart"/>
      <w:r>
        <w:rPr>
          <w:rFonts w:ascii="仿宋_GB2312" w:eastAsia="仿宋_GB2312" w:cs="仿宋_GB2312" w:hint="eastAsia"/>
          <w:sz w:val="32"/>
          <w:szCs w:val="32"/>
          <w:lang w:val="zh-CN"/>
        </w:rPr>
        <w:t>筹企业</w:t>
      </w:r>
      <w:proofErr w:type="gramEnd"/>
      <w:r>
        <w:rPr>
          <w:rFonts w:ascii="仿宋_GB2312" w:eastAsia="仿宋_GB2312" w:cs="仿宋_GB2312" w:hint="eastAsia"/>
          <w:sz w:val="32"/>
          <w:szCs w:val="32"/>
          <w:lang w:val="zh-CN"/>
        </w:rPr>
        <w:t>无需就本次境内发行上市事宜提交股东大会审议的，其申请上市时可以</w:t>
      </w:r>
      <w:r>
        <w:rPr>
          <w:rFonts w:ascii="仿宋_GB2312" w:eastAsia="仿宋_GB2312" w:cs="仿宋_GB2312" w:hint="eastAsia"/>
          <w:sz w:val="32"/>
          <w:szCs w:val="32"/>
          <w:lang w:val="zh-CN"/>
        </w:rPr>
        <w:lastRenderedPageBreak/>
        <w:t>不提交股东大会决议，但应当提交相关董事会决议。</w:t>
      </w:r>
    </w:p>
    <w:p w14:paraId="510762AF" w14:textId="77777777" w:rsidR="000C29B8" w:rsidRDefault="00000000">
      <w:pPr>
        <w:pStyle w:val="afa"/>
        <w:numPr>
          <w:ilvl w:val="0"/>
          <w:numId w:val="57"/>
        </w:numPr>
        <w:spacing w:line="560" w:lineRule="exact"/>
        <w:ind w:left="0" w:firstLine="640"/>
        <w:rPr>
          <w:rFonts w:ascii="仿宋_GB2312" w:cs="仿宋_GB2312"/>
          <w:sz w:val="32"/>
          <w:szCs w:val="32"/>
          <w:lang w:val="zh-CN"/>
        </w:rPr>
      </w:pPr>
      <w:r>
        <w:rPr>
          <w:rFonts w:ascii="仿宋_GB2312" w:hAnsi="Arial Unicode MS" w:cs="Arial Unicode MS" w:hint="eastAsia"/>
          <w:sz w:val="32"/>
          <w:szCs w:val="32"/>
        </w:rPr>
        <w:t>红</w:t>
      </w:r>
      <w:proofErr w:type="gramStart"/>
      <w:r>
        <w:rPr>
          <w:rFonts w:ascii="仿宋_GB2312" w:hAnsi="Arial Unicode MS" w:cs="Arial Unicode MS" w:hint="eastAsia"/>
          <w:sz w:val="32"/>
          <w:szCs w:val="32"/>
        </w:rPr>
        <w:t>筹企业</w:t>
      </w:r>
      <w:proofErr w:type="gramEnd"/>
      <w:r>
        <w:rPr>
          <w:rFonts w:ascii="仿宋_GB2312" w:hAnsi="Arial Unicode MS" w:cs="Arial Unicode MS" w:hint="eastAsia"/>
          <w:sz w:val="32"/>
          <w:szCs w:val="32"/>
        </w:rPr>
        <w:t>在境内发行股票或者存托凭证并在</w:t>
      </w:r>
      <w:proofErr w:type="gramStart"/>
      <w:r>
        <w:rPr>
          <w:rFonts w:ascii="仿宋_GB2312" w:hAnsi="Arial Unicode MS" w:cs="Arial Unicode MS" w:hint="eastAsia"/>
          <w:sz w:val="32"/>
          <w:szCs w:val="32"/>
        </w:rPr>
        <w:t>本所科创板上市</w:t>
      </w:r>
      <w:proofErr w:type="gramEnd"/>
      <w:r>
        <w:rPr>
          <w:rFonts w:ascii="仿宋_GB2312" w:hAnsi="Arial Unicode MS" w:cs="Arial Unicode MS" w:hint="eastAsia"/>
          <w:sz w:val="32"/>
          <w:szCs w:val="32"/>
        </w:rPr>
        <w:t>，股权结构、公司治理、运行规范等事项适用境外注册地公司法等法律法规的，其投资者权益保护水平，包括资产收益、参与重大决策、剩余财产分配等权益，总体上应不低于境内法律法规规定的要求，并保障境内存托凭证持有人实际享有的权益与境外基础证券持有人的权益相当。</w:t>
      </w:r>
    </w:p>
    <w:p w14:paraId="2361A360" w14:textId="77777777" w:rsidR="000C29B8" w:rsidRDefault="00000000">
      <w:pPr>
        <w:pStyle w:val="afa"/>
        <w:numPr>
          <w:ilvl w:val="0"/>
          <w:numId w:val="57"/>
        </w:numPr>
        <w:spacing w:line="560" w:lineRule="exact"/>
        <w:ind w:left="0" w:firstLine="640"/>
        <w:rPr>
          <w:rFonts w:ascii="仿宋_GB2312" w:hAnsi="Arial Unicode MS" w:cs="Arial Unicode MS"/>
          <w:sz w:val="32"/>
          <w:szCs w:val="32"/>
        </w:rPr>
      </w:pPr>
      <w:r>
        <w:rPr>
          <w:rFonts w:ascii="仿宋_GB2312" w:hAnsi="Arial Unicode MS" w:cs="Arial Unicode MS" w:hint="eastAsia"/>
          <w:sz w:val="32"/>
          <w:szCs w:val="32"/>
        </w:rPr>
        <w:t>红</w:t>
      </w:r>
      <w:proofErr w:type="gramStart"/>
      <w:r>
        <w:rPr>
          <w:rFonts w:ascii="仿宋_GB2312" w:hAnsi="Arial Unicode MS" w:cs="Arial Unicode MS" w:hint="eastAsia"/>
          <w:sz w:val="32"/>
          <w:szCs w:val="32"/>
        </w:rPr>
        <w:t>筹企业</w:t>
      </w:r>
      <w:proofErr w:type="gramEnd"/>
      <w:r>
        <w:rPr>
          <w:rFonts w:ascii="仿宋_GB2312" w:hAnsi="Arial Unicode MS" w:cs="Arial Unicode MS" w:hint="eastAsia"/>
          <w:sz w:val="32"/>
          <w:szCs w:val="32"/>
        </w:rPr>
        <w:t>提交的上市申请文件和持续信息披露文件，应当使用中文。</w:t>
      </w:r>
    </w:p>
    <w:p w14:paraId="73C55E82"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红</w:t>
      </w:r>
      <w:proofErr w:type="gramStart"/>
      <w:r>
        <w:rPr>
          <w:rFonts w:ascii="仿宋_GB2312" w:eastAsia="仿宋_GB2312" w:hAnsi="Arial Unicode MS" w:cs="Arial Unicode MS" w:hint="eastAsia"/>
          <w:sz w:val="32"/>
          <w:szCs w:val="32"/>
        </w:rPr>
        <w:t>筹企业</w:t>
      </w:r>
      <w:proofErr w:type="gramEnd"/>
      <w:r>
        <w:rPr>
          <w:rFonts w:ascii="仿宋_GB2312" w:eastAsia="仿宋_GB2312" w:hAnsi="Arial Unicode MS" w:cs="Arial Unicode MS" w:hint="eastAsia"/>
          <w:sz w:val="32"/>
          <w:szCs w:val="32"/>
        </w:rPr>
        <w:t>和相关信息披露义务人应当按照中国证监会和本所规定，在中国证监会指定信息披露媒体和本所网站披露上市和持续信息披露文件。</w:t>
      </w:r>
    </w:p>
    <w:p w14:paraId="75C789C0" w14:textId="77777777" w:rsidR="000C29B8" w:rsidRDefault="00000000">
      <w:pPr>
        <w:pStyle w:val="afa"/>
        <w:numPr>
          <w:ilvl w:val="0"/>
          <w:numId w:val="57"/>
        </w:numPr>
        <w:spacing w:line="560" w:lineRule="exact"/>
        <w:ind w:left="0" w:firstLine="640"/>
        <w:rPr>
          <w:rFonts w:ascii="仿宋_GB2312" w:hAnsi="Arial Unicode MS" w:cs="Arial Unicode MS"/>
          <w:sz w:val="32"/>
          <w:szCs w:val="32"/>
        </w:rPr>
      </w:pPr>
      <w:r>
        <w:rPr>
          <w:rFonts w:ascii="仿宋_GB2312" w:hAnsi="Arial Unicode MS" w:cs="Arial Unicode MS" w:hint="eastAsia"/>
          <w:sz w:val="32"/>
          <w:szCs w:val="32"/>
        </w:rPr>
        <w:t>红</w:t>
      </w:r>
      <w:proofErr w:type="gramStart"/>
      <w:r>
        <w:rPr>
          <w:rFonts w:ascii="仿宋_GB2312" w:hAnsi="Arial Unicode MS" w:cs="Arial Unicode MS" w:hint="eastAsia"/>
          <w:sz w:val="32"/>
          <w:szCs w:val="32"/>
        </w:rPr>
        <w:t>筹企业</w:t>
      </w:r>
      <w:proofErr w:type="gramEnd"/>
      <w:r>
        <w:rPr>
          <w:rFonts w:ascii="仿宋_GB2312" w:hAnsi="Arial Unicode MS" w:cs="Arial Unicode MS" w:hint="eastAsia"/>
          <w:sz w:val="32"/>
          <w:szCs w:val="32"/>
        </w:rPr>
        <w:t>应当在境内设立证券事务机构，并聘任信息披露境内代表，负责办理公司股票或者存托凭证上市期间的信息披露和监管联络事宜。信息披露境内代表应当具备境内上市公司董事会秘书的相应任职能力，熟悉境内信息披露规定和要求，并能够熟练使用中文。</w:t>
      </w:r>
    </w:p>
    <w:p w14:paraId="02FC7394"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红</w:t>
      </w:r>
      <w:proofErr w:type="gramStart"/>
      <w:r>
        <w:rPr>
          <w:rFonts w:ascii="仿宋_GB2312" w:eastAsia="仿宋_GB2312" w:hAnsi="Arial Unicode MS" w:cs="Arial Unicode MS" w:hint="eastAsia"/>
          <w:sz w:val="32"/>
          <w:szCs w:val="32"/>
        </w:rPr>
        <w:t>筹企业</w:t>
      </w:r>
      <w:proofErr w:type="gramEnd"/>
      <w:r>
        <w:rPr>
          <w:rFonts w:ascii="仿宋_GB2312" w:eastAsia="仿宋_GB2312" w:hAnsi="Arial Unicode MS" w:cs="Arial Unicode MS" w:hint="eastAsia"/>
          <w:sz w:val="32"/>
          <w:szCs w:val="32"/>
        </w:rPr>
        <w:t>应当建立与境内投资者、监管机构及本所的有效沟通渠道，按照规定保障境内投资者的合法权益，保持与境内监管机构及本所的畅通联系。</w:t>
      </w:r>
    </w:p>
    <w:p w14:paraId="29EAACBD" w14:textId="77777777" w:rsidR="000C29B8" w:rsidRDefault="00000000">
      <w:pPr>
        <w:pStyle w:val="afa"/>
        <w:numPr>
          <w:ilvl w:val="0"/>
          <w:numId w:val="57"/>
        </w:numPr>
        <w:spacing w:line="560" w:lineRule="exact"/>
        <w:ind w:left="0" w:firstLine="640"/>
        <w:rPr>
          <w:rFonts w:ascii="仿宋_GB2312" w:cs="仿宋_GB2312"/>
          <w:sz w:val="32"/>
          <w:szCs w:val="32"/>
          <w:lang w:val="zh-CN"/>
        </w:rPr>
      </w:pPr>
      <w:r>
        <w:rPr>
          <w:rFonts w:ascii="仿宋_GB2312" w:cs="仿宋_GB2312" w:hint="eastAsia"/>
          <w:sz w:val="32"/>
          <w:szCs w:val="32"/>
          <w:lang w:val="zh-CN"/>
        </w:rPr>
        <w:t>红</w:t>
      </w:r>
      <w:proofErr w:type="gramStart"/>
      <w:r>
        <w:rPr>
          <w:rFonts w:ascii="仿宋_GB2312" w:cs="仿宋_GB2312" w:hint="eastAsia"/>
          <w:sz w:val="32"/>
          <w:szCs w:val="32"/>
          <w:lang w:val="zh-CN"/>
        </w:rPr>
        <w:t>筹企业</w:t>
      </w:r>
      <w:proofErr w:type="gramEnd"/>
      <w:r>
        <w:rPr>
          <w:rFonts w:ascii="仿宋_GB2312" w:cs="仿宋_GB2312" w:hint="eastAsia"/>
          <w:sz w:val="32"/>
          <w:szCs w:val="32"/>
          <w:lang w:val="zh-CN"/>
        </w:rPr>
        <w:t>具有协议控制架构或者类似特殊安排的，应当充分、详细披露相关情况，特别是风险、公司治理等信息，以及依法落实保护投资者合法权益规定的各项措施。</w:t>
      </w:r>
    </w:p>
    <w:p w14:paraId="2AF19C71" w14:textId="77777777" w:rsidR="000C29B8"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红</w:t>
      </w:r>
      <w:proofErr w:type="gramStart"/>
      <w:r>
        <w:rPr>
          <w:rFonts w:ascii="仿宋_GB2312" w:eastAsia="仿宋_GB2312" w:hint="eastAsia"/>
          <w:sz w:val="32"/>
          <w:szCs w:val="32"/>
        </w:rPr>
        <w:t>筹企业</w:t>
      </w:r>
      <w:proofErr w:type="gramEnd"/>
      <w:r>
        <w:rPr>
          <w:rFonts w:ascii="仿宋_GB2312" w:eastAsia="仿宋_GB2312" w:hint="eastAsia"/>
          <w:sz w:val="32"/>
          <w:szCs w:val="32"/>
        </w:rPr>
        <w:t>应当在年度报告中披露</w:t>
      </w:r>
      <w:r>
        <w:rPr>
          <w:rFonts w:ascii="仿宋_GB2312" w:eastAsia="仿宋_GB2312" w:cs="仿宋_GB2312" w:hint="eastAsia"/>
          <w:sz w:val="32"/>
          <w:szCs w:val="32"/>
          <w:lang w:val="zh-CN"/>
        </w:rPr>
        <w:t>协议控制架构或者类</w:t>
      </w:r>
      <w:r>
        <w:rPr>
          <w:rFonts w:ascii="仿宋_GB2312" w:eastAsia="仿宋_GB2312" w:cs="仿宋_GB2312" w:hint="eastAsia"/>
          <w:sz w:val="32"/>
          <w:szCs w:val="32"/>
          <w:lang w:val="zh-CN"/>
        </w:rPr>
        <w:lastRenderedPageBreak/>
        <w:t>似特殊安排</w:t>
      </w:r>
      <w:r>
        <w:rPr>
          <w:rFonts w:ascii="仿宋_GB2312" w:eastAsia="仿宋_GB2312" w:hint="eastAsia"/>
          <w:sz w:val="32"/>
          <w:szCs w:val="32"/>
        </w:rPr>
        <w:t>在报告期内的实施和变化情况，以及该等安排下保护境内投资者合法权益有关措施的实施情况。</w:t>
      </w:r>
    </w:p>
    <w:p w14:paraId="120B5400"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仿宋" w:hint="eastAsia"/>
          <w:sz w:val="32"/>
          <w:szCs w:val="32"/>
        </w:rPr>
        <w:t>前款规定事项出现重大变化或者调整，可能对公司股票、存托凭证交易价格产生较大影响的，公司和相关信息披露义务人应当及时予以披露。</w:t>
      </w:r>
    </w:p>
    <w:p w14:paraId="57A23946" w14:textId="77777777" w:rsidR="000C29B8" w:rsidRDefault="00000000">
      <w:pPr>
        <w:pStyle w:val="afa"/>
        <w:numPr>
          <w:ilvl w:val="0"/>
          <w:numId w:val="57"/>
        </w:numPr>
        <w:spacing w:line="560" w:lineRule="exact"/>
        <w:ind w:left="0" w:firstLine="640"/>
        <w:rPr>
          <w:rFonts w:ascii="仿宋_GB2312" w:hAnsi="Arial Unicode MS" w:cs="Arial Unicode MS"/>
          <w:sz w:val="32"/>
          <w:szCs w:val="32"/>
        </w:rPr>
      </w:pPr>
      <w:r>
        <w:rPr>
          <w:rFonts w:ascii="仿宋_GB2312" w:hAnsi="Arial Unicode MS" w:cs="Arial Unicode MS" w:hint="eastAsia"/>
          <w:sz w:val="32"/>
          <w:szCs w:val="32"/>
        </w:rPr>
        <w:t>红</w:t>
      </w:r>
      <w:proofErr w:type="gramStart"/>
      <w:r>
        <w:rPr>
          <w:rFonts w:ascii="仿宋_GB2312" w:hAnsi="Arial Unicode MS" w:cs="Arial Unicode MS" w:hint="eastAsia"/>
          <w:sz w:val="32"/>
          <w:szCs w:val="32"/>
        </w:rPr>
        <w:t>筹企业</w:t>
      </w:r>
      <w:proofErr w:type="gramEnd"/>
      <w:r>
        <w:rPr>
          <w:rFonts w:ascii="仿宋_GB2312" w:hAnsi="Arial Unicode MS" w:cs="Arial Unicode MS" w:hint="eastAsia"/>
          <w:sz w:val="32"/>
          <w:szCs w:val="32"/>
        </w:rPr>
        <w:t>进行本规则规定需提交股东大会审议的重大交易、关联交易等事项，可以按照其已披露的境外注册地公司法等法律法规和公司章程规定的权限和程序执行，法律法规另有规定的除外。</w:t>
      </w:r>
    </w:p>
    <w:p w14:paraId="057C11E4"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公司按照前款规定将相关事项提交股东大会审议的，应当及时予以披露。</w:t>
      </w:r>
    </w:p>
    <w:p w14:paraId="03C71B0B" w14:textId="77777777" w:rsidR="000C29B8" w:rsidRDefault="00000000">
      <w:pPr>
        <w:pStyle w:val="afa"/>
        <w:numPr>
          <w:ilvl w:val="0"/>
          <w:numId w:val="57"/>
        </w:numPr>
        <w:spacing w:line="560" w:lineRule="exact"/>
        <w:ind w:left="0" w:firstLine="640"/>
        <w:rPr>
          <w:rFonts w:ascii="仿宋_GB2312" w:hAnsi="Arial Unicode MS" w:cs="Arial Unicode MS"/>
          <w:sz w:val="32"/>
          <w:szCs w:val="32"/>
        </w:rPr>
      </w:pPr>
      <w:r>
        <w:rPr>
          <w:rFonts w:ascii="仿宋_GB2312" w:hAnsi="Arial Unicode MS" w:cs="Arial Unicode MS" w:hint="eastAsia"/>
          <w:sz w:val="32"/>
          <w:szCs w:val="32"/>
        </w:rPr>
        <w:t>红</w:t>
      </w:r>
      <w:proofErr w:type="gramStart"/>
      <w:r>
        <w:rPr>
          <w:rFonts w:ascii="仿宋_GB2312" w:hAnsi="Arial Unicode MS" w:cs="Arial Unicode MS" w:hint="eastAsia"/>
          <w:sz w:val="32"/>
          <w:szCs w:val="32"/>
        </w:rPr>
        <w:t>筹企业</w:t>
      </w:r>
      <w:proofErr w:type="gramEnd"/>
      <w:r>
        <w:rPr>
          <w:rFonts w:ascii="仿宋_GB2312" w:hAnsi="Arial Unicode MS" w:cs="Arial Unicode MS" w:hint="eastAsia"/>
          <w:sz w:val="32"/>
          <w:szCs w:val="32"/>
        </w:rPr>
        <w:t>注册地公司法等法律法规或者实践中普遍认同的标准对公司董事会、独立董事职责有不同规定或者安排，导致董事会、独立董事无法按照本所规定履行职责或者发表意见的，红</w:t>
      </w:r>
      <w:proofErr w:type="gramStart"/>
      <w:r>
        <w:rPr>
          <w:rFonts w:ascii="仿宋_GB2312" w:hAnsi="Arial Unicode MS" w:cs="Arial Unicode MS" w:hint="eastAsia"/>
          <w:sz w:val="32"/>
          <w:szCs w:val="32"/>
        </w:rPr>
        <w:t>筹企业</w:t>
      </w:r>
      <w:proofErr w:type="gramEnd"/>
      <w:r>
        <w:rPr>
          <w:rFonts w:ascii="仿宋_GB2312" w:hAnsi="Arial Unicode MS" w:cs="Arial Unicode MS" w:hint="eastAsia"/>
          <w:sz w:val="32"/>
          <w:szCs w:val="32"/>
        </w:rPr>
        <w:t>应当详细说明情况和原因，并聘请律师事务所就上述事项出具法律意见。</w:t>
      </w:r>
    </w:p>
    <w:p w14:paraId="086525DA" w14:textId="77777777" w:rsidR="000C29B8" w:rsidRDefault="00000000">
      <w:pPr>
        <w:pStyle w:val="afa"/>
        <w:numPr>
          <w:ilvl w:val="0"/>
          <w:numId w:val="57"/>
        </w:numPr>
        <w:spacing w:line="560" w:lineRule="exact"/>
        <w:ind w:left="0" w:firstLine="640"/>
        <w:rPr>
          <w:rFonts w:ascii="仿宋_GB2312" w:hAnsi="Arial Unicode MS" w:cs="Arial Unicode MS"/>
          <w:sz w:val="32"/>
          <w:szCs w:val="32"/>
        </w:rPr>
      </w:pPr>
      <w:r>
        <w:rPr>
          <w:rFonts w:ascii="仿宋_GB2312" w:hAnsi="Arial Unicode MS" w:cs="Arial Unicode MS" w:hint="eastAsia"/>
          <w:sz w:val="32"/>
          <w:szCs w:val="32"/>
        </w:rPr>
        <w:t>红</w:t>
      </w:r>
      <w:proofErr w:type="gramStart"/>
      <w:r>
        <w:rPr>
          <w:rFonts w:ascii="仿宋_GB2312" w:hAnsi="Arial Unicode MS" w:cs="Arial Unicode MS" w:hint="eastAsia"/>
          <w:sz w:val="32"/>
          <w:szCs w:val="32"/>
        </w:rPr>
        <w:t>筹企业</w:t>
      </w:r>
      <w:proofErr w:type="gramEnd"/>
      <w:r>
        <w:rPr>
          <w:rFonts w:ascii="仿宋_GB2312" w:hAnsi="Arial Unicode MS" w:cs="Arial Unicode MS" w:hint="eastAsia"/>
          <w:sz w:val="32"/>
          <w:szCs w:val="32"/>
        </w:rPr>
        <w:t>在本所上市存托凭证的，应当在年度报告和中期报告中披露存托、托管相关安排在报告期内的实施和变化情况以及报告</w:t>
      </w:r>
      <w:proofErr w:type="gramStart"/>
      <w:r>
        <w:rPr>
          <w:rFonts w:ascii="仿宋_GB2312" w:hAnsi="Arial Unicode MS" w:cs="Arial Unicode MS" w:hint="eastAsia"/>
          <w:sz w:val="32"/>
          <w:szCs w:val="32"/>
        </w:rPr>
        <w:t>期末前</w:t>
      </w:r>
      <w:proofErr w:type="gramEnd"/>
      <w:r>
        <w:rPr>
          <w:rFonts w:ascii="仿宋_GB2312" w:hAnsi="Arial Unicode MS" w:cs="Arial Unicode MS" w:hint="eastAsia"/>
          <w:sz w:val="32"/>
          <w:szCs w:val="32"/>
        </w:rPr>
        <w:t>10名境内存托凭证持有人的名单和持有量。发生下列情形之一的，公司应当及时披露：</w:t>
      </w:r>
    </w:p>
    <w:p w14:paraId="2B69E028"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（一）存托人、托管人发生变化；</w:t>
      </w:r>
    </w:p>
    <w:p w14:paraId="17C92EB5"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（二）存托的基础财产发生被质押、挪用、司法冻结或者其他权属变化；</w:t>
      </w:r>
    </w:p>
    <w:p w14:paraId="1C1196DE"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（三）对存托协议、托管协议</w:t>
      </w:r>
      <w:proofErr w:type="gramStart"/>
      <w:r>
        <w:rPr>
          <w:rFonts w:ascii="仿宋_GB2312" w:eastAsia="仿宋_GB2312" w:hAnsi="Arial Unicode MS" w:cs="Arial Unicode MS" w:hint="eastAsia"/>
          <w:sz w:val="32"/>
          <w:szCs w:val="32"/>
        </w:rPr>
        <w:t>作出</w:t>
      </w:r>
      <w:proofErr w:type="gramEnd"/>
      <w:r>
        <w:rPr>
          <w:rFonts w:ascii="仿宋_GB2312" w:eastAsia="仿宋_GB2312" w:hAnsi="Arial Unicode MS" w:cs="Arial Unicode MS" w:hint="eastAsia"/>
          <w:sz w:val="32"/>
          <w:szCs w:val="32"/>
        </w:rPr>
        <w:t>重大修改；</w:t>
      </w:r>
    </w:p>
    <w:p w14:paraId="69D59691"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lastRenderedPageBreak/>
        <w:t>（四）存托凭证与基础证券的转换比例发生变动；</w:t>
      </w:r>
    </w:p>
    <w:p w14:paraId="41FE234D"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（五）中国证监会和本所要求披露的其他情形。</w:t>
      </w:r>
    </w:p>
    <w:p w14:paraId="4D9D06A8"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红</w:t>
      </w:r>
      <w:proofErr w:type="gramStart"/>
      <w:r>
        <w:rPr>
          <w:rFonts w:ascii="仿宋_GB2312" w:eastAsia="仿宋_GB2312" w:hAnsi="Arial Unicode MS" w:cs="Arial Unicode MS" w:hint="eastAsia"/>
          <w:sz w:val="32"/>
          <w:szCs w:val="32"/>
        </w:rPr>
        <w:t>筹企业</w:t>
      </w:r>
      <w:proofErr w:type="gramEnd"/>
      <w:r>
        <w:rPr>
          <w:rFonts w:ascii="仿宋_GB2312" w:eastAsia="仿宋_GB2312" w:hAnsi="Arial Unicode MS" w:cs="Arial Unicode MS" w:hint="eastAsia"/>
          <w:sz w:val="32"/>
          <w:szCs w:val="32"/>
        </w:rPr>
        <w:t>变更存托凭证与基础证券的转换比例的，应当经本所同意。</w:t>
      </w:r>
    </w:p>
    <w:p w14:paraId="1C153207"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发生第一款第一项、第二项规定的情形，或者托管协议发生重大修改的，存托人应当及时告知红筹企业，公司应当及时进行披露。</w:t>
      </w:r>
    </w:p>
    <w:p w14:paraId="742CE598" w14:textId="77777777" w:rsidR="000C29B8" w:rsidRDefault="00000000">
      <w:pPr>
        <w:pStyle w:val="afa"/>
        <w:numPr>
          <w:ilvl w:val="0"/>
          <w:numId w:val="57"/>
        </w:numPr>
        <w:spacing w:line="560" w:lineRule="exact"/>
        <w:ind w:left="0" w:firstLine="640"/>
        <w:rPr>
          <w:rFonts w:ascii="仿宋_GB2312" w:hAnsi="Arial Unicode MS" w:cs="Arial Unicode MS"/>
          <w:sz w:val="32"/>
          <w:szCs w:val="32"/>
        </w:rPr>
      </w:pPr>
      <w:r>
        <w:rPr>
          <w:rFonts w:ascii="仿宋_GB2312" w:hAnsi="Arial Unicode MS" w:cs="Arial Unicode MS" w:hint="eastAsia"/>
          <w:sz w:val="32"/>
          <w:szCs w:val="32"/>
        </w:rPr>
        <w:t>红筹企业、存托人应当合理安排存托凭证持有人权利行使的时间和方式，保障其有足够时间和便利条件行使相应权利，并根据存</w:t>
      </w:r>
      <w:proofErr w:type="gramStart"/>
      <w:r>
        <w:rPr>
          <w:rFonts w:ascii="仿宋_GB2312" w:hAnsi="Arial Unicode MS" w:cs="Arial Unicode MS" w:hint="eastAsia"/>
          <w:sz w:val="32"/>
          <w:szCs w:val="32"/>
        </w:rPr>
        <w:t>托协议</w:t>
      </w:r>
      <w:proofErr w:type="gramEnd"/>
      <w:r>
        <w:rPr>
          <w:rFonts w:ascii="仿宋_GB2312" w:hAnsi="Arial Unicode MS" w:cs="Arial Unicode MS" w:hint="eastAsia"/>
          <w:sz w:val="32"/>
          <w:szCs w:val="32"/>
        </w:rPr>
        <w:t>的约定及时披露存托凭证持有人权利行使的时间、方式、具体要求和权利行使结果。</w:t>
      </w:r>
    </w:p>
    <w:p w14:paraId="7970FB1E" w14:textId="77777777" w:rsidR="000C29B8" w:rsidRDefault="00000000">
      <w:pPr>
        <w:spacing w:line="560" w:lineRule="exact"/>
        <w:ind w:firstLineChars="200" w:firstLine="640"/>
        <w:rPr>
          <w:rFonts w:ascii="楷体_GB2312" w:eastAsia="楷体_GB2312"/>
          <w:sz w:val="32"/>
          <w:szCs w:val="32"/>
        </w:rPr>
      </w:pPr>
      <w:r>
        <w:rPr>
          <w:rFonts w:ascii="仿宋_GB2312" w:eastAsia="仿宋_GB2312" w:hAnsi="Arial Unicode MS" w:cs="Arial Unicode MS" w:hint="eastAsia"/>
          <w:sz w:val="32"/>
          <w:szCs w:val="32"/>
        </w:rPr>
        <w:t>公司、存托人通过本所或者本所子公司提供的网络系统征集存托凭证持有人投票意愿的，具体业务流程按照本所相关规定或者业务协议的约定办理，并由公司或者存托人按照存</w:t>
      </w:r>
      <w:proofErr w:type="gramStart"/>
      <w:r>
        <w:rPr>
          <w:rFonts w:ascii="仿宋_GB2312" w:eastAsia="仿宋_GB2312" w:hAnsi="Arial Unicode MS" w:cs="Arial Unicode MS" w:hint="eastAsia"/>
          <w:sz w:val="32"/>
          <w:szCs w:val="32"/>
        </w:rPr>
        <w:t>托协议</w:t>
      </w:r>
      <w:proofErr w:type="gramEnd"/>
      <w:r>
        <w:rPr>
          <w:rFonts w:ascii="仿宋_GB2312" w:eastAsia="仿宋_GB2312" w:hAnsi="Arial Unicode MS" w:cs="Arial Unicode MS" w:hint="eastAsia"/>
          <w:sz w:val="32"/>
          <w:szCs w:val="32"/>
        </w:rPr>
        <w:t>的约定向市场公告。</w:t>
      </w:r>
    </w:p>
    <w:p w14:paraId="7E5E9452" w14:textId="77777777" w:rsidR="000C29B8" w:rsidRDefault="00000000">
      <w:pPr>
        <w:pStyle w:val="afa"/>
        <w:numPr>
          <w:ilvl w:val="0"/>
          <w:numId w:val="57"/>
        </w:numPr>
        <w:spacing w:line="560" w:lineRule="exact"/>
        <w:ind w:left="0" w:firstLine="640"/>
        <w:rPr>
          <w:rFonts w:ascii="仿宋_GB2312" w:hAnsi="Arial Unicode MS" w:cs="Arial Unicode MS"/>
          <w:sz w:val="32"/>
          <w:szCs w:val="32"/>
        </w:rPr>
      </w:pPr>
      <w:r>
        <w:rPr>
          <w:rFonts w:ascii="仿宋_GB2312" w:cs="仿宋_GB2312" w:hint="eastAsia"/>
          <w:sz w:val="32"/>
          <w:szCs w:val="32"/>
          <w:lang w:val="zh-CN"/>
        </w:rPr>
        <w:t>红</w:t>
      </w:r>
      <w:proofErr w:type="gramStart"/>
      <w:r>
        <w:rPr>
          <w:rFonts w:ascii="仿宋_GB2312" w:cs="仿宋_GB2312" w:hint="eastAsia"/>
          <w:sz w:val="32"/>
          <w:szCs w:val="32"/>
          <w:lang w:val="zh-CN"/>
        </w:rPr>
        <w:t>筹企业</w:t>
      </w:r>
      <w:proofErr w:type="gramEnd"/>
      <w:r>
        <w:rPr>
          <w:rFonts w:ascii="仿宋_GB2312" w:cs="仿宋_GB2312" w:hint="eastAsia"/>
          <w:sz w:val="32"/>
          <w:szCs w:val="32"/>
          <w:lang w:val="zh-CN"/>
        </w:rPr>
        <w:t>和相关信息披露义务人适用本规则相关信息披露要求和持续监管规定，可能导致其难以符合公司注册地、境外上市地有关规定及市场实践中普遍认同的标准的，可以向本所申请调整适用，但应当说明原因和替代方案，并聘请律师事务所出具法律意见。本所认为依法不应调整适用的，红</w:t>
      </w:r>
      <w:proofErr w:type="gramStart"/>
      <w:r>
        <w:rPr>
          <w:rFonts w:ascii="仿宋_GB2312" w:cs="仿宋_GB2312" w:hint="eastAsia"/>
          <w:sz w:val="32"/>
          <w:szCs w:val="32"/>
          <w:lang w:val="zh-CN"/>
        </w:rPr>
        <w:t>筹企业</w:t>
      </w:r>
      <w:proofErr w:type="gramEnd"/>
      <w:r>
        <w:rPr>
          <w:rFonts w:ascii="仿宋_GB2312" w:cs="仿宋_GB2312" w:hint="eastAsia"/>
          <w:sz w:val="32"/>
          <w:szCs w:val="32"/>
          <w:lang w:val="zh-CN"/>
        </w:rPr>
        <w:t>和相关信息披露义务人应当执行本规则相关规定。</w:t>
      </w:r>
    </w:p>
    <w:p w14:paraId="0D6D19AF" w14:textId="77777777" w:rsidR="000C29B8" w:rsidRDefault="00000000">
      <w:pPr>
        <w:pStyle w:val="23"/>
        <w:numPr>
          <w:ilvl w:val="1"/>
          <w:numId w:val="1"/>
        </w:numPr>
        <w:ind w:left="0" w:firstLine="643"/>
      </w:pPr>
      <w:bookmarkStart w:id="1026" w:name="_Toc531602012"/>
      <w:bookmarkStart w:id="1027" w:name="_Toc531551669"/>
      <w:bookmarkStart w:id="1028" w:name="_Toc531602011"/>
      <w:bookmarkStart w:id="1029" w:name="_Toc531551668"/>
      <w:bookmarkStart w:id="1030" w:name="_Toc531600911"/>
      <w:bookmarkStart w:id="1031" w:name="_Toc531600912"/>
      <w:bookmarkStart w:id="1032" w:name="_Toc7070"/>
      <w:bookmarkEnd w:id="1026"/>
      <w:bookmarkEnd w:id="1027"/>
      <w:bookmarkEnd w:id="1028"/>
      <w:bookmarkEnd w:id="1029"/>
      <w:bookmarkEnd w:id="1030"/>
      <w:bookmarkEnd w:id="1031"/>
      <w:r>
        <w:rPr>
          <w:rFonts w:hint="eastAsia"/>
        </w:rPr>
        <w:t>境内外事项的协调</w:t>
      </w:r>
      <w:bookmarkEnd w:id="1032"/>
    </w:p>
    <w:p w14:paraId="2D7F06D9" w14:textId="77777777" w:rsidR="000C29B8" w:rsidRDefault="00000000">
      <w:pPr>
        <w:pStyle w:val="afa"/>
        <w:numPr>
          <w:ilvl w:val="0"/>
          <w:numId w:val="58"/>
        </w:numPr>
        <w:spacing w:line="560" w:lineRule="exact"/>
        <w:ind w:left="0" w:firstLine="640"/>
        <w:rPr>
          <w:rFonts w:ascii="仿宋_GB2312" w:hAnsi="Arial Unicode MS" w:cs="Arial Unicode MS"/>
          <w:sz w:val="32"/>
          <w:szCs w:val="32"/>
        </w:rPr>
      </w:pPr>
      <w:r>
        <w:rPr>
          <w:rFonts w:ascii="仿宋_GB2312" w:hAnsi="Arial Unicode MS" w:cs="Arial Unicode MS" w:hint="eastAsia"/>
          <w:sz w:val="32"/>
          <w:szCs w:val="32"/>
        </w:rPr>
        <w:t>在本所上市的公司同时有证券在境外证券交易</w:t>
      </w:r>
      <w:r>
        <w:rPr>
          <w:rFonts w:ascii="仿宋_GB2312" w:hAnsi="Arial Unicode MS" w:cs="Arial Unicode MS" w:hint="eastAsia"/>
          <w:sz w:val="32"/>
          <w:szCs w:val="32"/>
        </w:rPr>
        <w:lastRenderedPageBreak/>
        <w:t>所上市的，应当保证将境外证券交易所要求披露的信息，及时向本所报告，并同时在指定媒体上按照本规则规定披露。</w:t>
      </w:r>
    </w:p>
    <w:p w14:paraId="7D36761D" w14:textId="77777777" w:rsidR="000C29B8" w:rsidRDefault="00000000">
      <w:pPr>
        <w:pStyle w:val="afa"/>
        <w:numPr>
          <w:ilvl w:val="0"/>
          <w:numId w:val="58"/>
        </w:numPr>
        <w:spacing w:line="560" w:lineRule="exact"/>
        <w:ind w:left="0" w:firstLine="640"/>
        <w:rPr>
          <w:rFonts w:ascii="仿宋_GB2312" w:hAnsi="Arial Unicode MS" w:cs="Arial Unicode MS"/>
          <w:sz w:val="32"/>
          <w:szCs w:val="32"/>
        </w:rPr>
      </w:pPr>
      <w:r>
        <w:rPr>
          <w:rFonts w:ascii="仿宋_GB2312" w:hAnsi="Arial Unicode MS" w:cs="Arial Unicode MS" w:hint="eastAsia"/>
          <w:sz w:val="32"/>
          <w:szCs w:val="32"/>
        </w:rPr>
        <w:t>上市公司就同一事件向境外证券交易所提供的报告和公告应当与向本所提供的内容一致。出现重大差异时，公司应当向本所</w:t>
      </w:r>
      <w:proofErr w:type="gramStart"/>
      <w:r>
        <w:rPr>
          <w:rFonts w:ascii="仿宋_GB2312" w:hAnsi="Arial Unicode MS" w:cs="Arial Unicode MS" w:hint="eastAsia"/>
          <w:sz w:val="32"/>
          <w:szCs w:val="32"/>
        </w:rPr>
        <w:t>作出</w:t>
      </w:r>
      <w:proofErr w:type="gramEnd"/>
      <w:r>
        <w:rPr>
          <w:rFonts w:ascii="仿宋_GB2312" w:hAnsi="Arial Unicode MS" w:cs="Arial Unicode MS" w:hint="eastAsia"/>
          <w:sz w:val="32"/>
          <w:szCs w:val="32"/>
        </w:rPr>
        <w:t>专项说明，并按照本所要求披露更正或补充公告。</w:t>
      </w:r>
    </w:p>
    <w:p w14:paraId="2D5E3B16" w14:textId="77777777" w:rsidR="000C29B8" w:rsidRDefault="00000000">
      <w:pPr>
        <w:pStyle w:val="afa"/>
        <w:numPr>
          <w:ilvl w:val="0"/>
          <w:numId w:val="58"/>
        </w:numPr>
        <w:spacing w:line="560" w:lineRule="exact"/>
        <w:ind w:left="0" w:firstLine="640"/>
        <w:rPr>
          <w:rFonts w:ascii="仿宋_GB2312"/>
          <w:sz w:val="32"/>
          <w:szCs w:val="32"/>
        </w:rPr>
      </w:pPr>
      <w:r>
        <w:rPr>
          <w:rFonts w:ascii="仿宋_GB2312" w:hAnsi="Arial Unicode MS" w:cs="Arial Unicode MS" w:hint="eastAsia"/>
          <w:sz w:val="32"/>
          <w:szCs w:val="32"/>
        </w:rPr>
        <w:t>上市公司股票及其衍生品种被境外证券交易所停牌的，应当及时向本所报告停牌的事项和原因，并提交是否需要向本所申请停牌的书面说明。</w:t>
      </w:r>
    </w:p>
    <w:p w14:paraId="130D7AE9" w14:textId="77777777" w:rsidR="000C29B8" w:rsidRDefault="00000000">
      <w:pPr>
        <w:pStyle w:val="afa"/>
        <w:numPr>
          <w:ilvl w:val="0"/>
          <w:numId w:val="58"/>
        </w:numPr>
        <w:spacing w:line="560" w:lineRule="exact"/>
        <w:ind w:left="0" w:firstLine="640"/>
        <w:rPr>
          <w:rFonts w:ascii="仿宋_GB2312" w:hAnsi="黑体"/>
          <w:sz w:val="32"/>
          <w:szCs w:val="32"/>
        </w:rPr>
      </w:pPr>
      <w:r>
        <w:rPr>
          <w:rFonts w:ascii="仿宋_GB2312" w:hAnsi="黑体" w:hint="eastAsia"/>
          <w:sz w:val="32"/>
          <w:szCs w:val="32"/>
        </w:rPr>
        <w:t>本章未尽事宜，适用有关法律法规和本所与其他证券交易所签署的监管合作备忘录以及其他相关规定。</w:t>
      </w:r>
    </w:p>
    <w:p w14:paraId="0730EDCD" w14:textId="77777777" w:rsidR="000C29B8" w:rsidRDefault="000C29B8">
      <w:pPr>
        <w:spacing w:line="560" w:lineRule="exact"/>
        <w:rPr>
          <w:rFonts w:ascii="仿宋_GB2312" w:eastAsia="仿宋_GB2312" w:hAnsi="黑体"/>
          <w:sz w:val="32"/>
          <w:szCs w:val="32"/>
        </w:rPr>
      </w:pPr>
    </w:p>
    <w:p w14:paraId="7B1F8AF0" w14:textId="77777777" w:rsidR="000C29B8" w:rsidRDefault="00000000">
      <w:pPr>
        <w:pStyle w:val="7"/>
        <w:numPr>
          <w:ilvl w:val="0"/>
          <w:numId w:val="1"/>
        </w:numPr>
        <w:ind w:left="0" w:firstLine="643"/>
        <w:rPr>
          <w:b/>
        </w:rPr>
      </w:pPr>
      <w:bookmarkStart w:id="1033" w:name="_Toc8942"/>
      <w:r>
        <w:rPr>
          <w:rFonts w:hint="eastAsia"/>
          <w:b/>
        </w:rPr>
        <w:t>日常监管和违反本规则的处理</w:t>
      </w:r>
      <w:bookmarkEnd w:id="1033"/>
    </w:p>
    <w:p w14:paraId="0422259B" w14:textId="77777777" w:rsidR="000C29B8" w:rsidRDefault="00000000">
      <w:pPr>
        <w:pStyle w:val="23"/>
        <w:numPr>
          <w:ilvl w:val="1"/>
          <w:numId w:val="1"/>
        </w:numPr>
        <w:ind w:left="0" w:firstLine="643"/>
      </w:pPr>
      <w:bookmarkStart w:id="1034" w:name="_Toc15769"/>
      <w:r>
        <w:rPr>
          <w:rFonts w:hint="eastAsia"/>
        </w:rPr>
        <w:t>日常监管</w:t>
      </w:r>
      <w:bookmarkEnd w:id="1034"/>
    </w:p>
    <w:p w14:paraId="2D096E12" w14:textId="77777777" w:rsidR="000C29B8" w:rsidRDefault="00000000">
      <w:pPr>
        <w:numPr>
          <w:ilvl w:val="2"/>
          <w:numId w:val="59"/>
        </w:numPr>
        <w:tabs>
          <w:tab w:val="clear" w:pos="1418"/>
          <w:tab w:val="left" w:pos="0"/>
          <w:tab w:val="left" w:pos="1560"/>
        </w:tabs>
        <w:snapToGrid w:val="0"/>
        <w:spacing w:line="560" w:lineRule="exact"/>
        <w:ind w:left="0"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本所可对本</w:t>
      </w:r>
      <w:proofErr w:type="gramStart"/>
      <w:r>
        <w:rPr>
          <w:rFonts w:ascii="仿宋_GB2312" w:eastAsia="仿宋_GB2312" w:hAnsi="Arial Unicode MS" w:cs="Arial Unicode MS" w:hint="eastAsia"/>
          <w:sz w:val="32"/>
          <w:szCs w:val="32"/>
        </w:rPr>
        <w:t>规则第1</w:t>
      </w:r>
      <w:proofErr w:type="gramEnd"/>
      <w:r>
        <w:rPr>
          <w:rFonts w:ascii="仿宋_GB2312" w:eastAsia="仿宋_GB2312" w:hAnsi="Arial Unicode MS" w:cs="Arial Unicode MS" w:hint="eastAsia"/>
          <w:sz w:val="32"/>
          <w:szCs w:val="32"/>
        </w:rPr>
        <w:t>.4条、第1.5条规定的机构及其相关人员（以下统称监管对象），单独或者合并采取下列日常工作措施：</w:t>
      </w:r>
    </w:p>
    <w:p w14:paraId="5DD07C4F"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（一）要求对有关问题</w:t>
      </w:r>
      <w:proofErr w:type="gramStart"/>
      <w:r>
        <w:rPr>
          <w:rFonts w:ascii="仿宋_GB2312" w:eastAsia="仿宋_GB2312" w:hAnsi="Arial Unicode MS" w:cs="Arial Unicode MS" w:hint="eastAsia"/>
          <w:sz w:val="32"/>
          <w:szCs w:val="32"/>
        </w:rPr>
        <w:t>作出</w:t>
      </w:r>
      <w:proofErr w:type="gramEnd"/>
      <w:r>
        <w:rPr>
          <w:rFonts w:ascii="仿宋_GB2312" w:eastAsia="仿宋_GB2312" w:hAnsi="Arial Unicode MS" w:cs="Arial Unicode MS" w:hint="eastAsia"/>
          <w:sz w:val="32"/>
          <w:szCs w:val="32"/>
        </w:rPr>
        <w:t>解释和说明；</w:t>
      </w:r>
    </w:p>
    <w:p w14:paraId="223DBF63"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（二）要求提供相关备查文件或材料；</w:t>
      </w:r>
    </w:p>
    <w:p w14:paraId="35E406E4"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（三）要求聘请保荐机构、相关证券服务机构发表意见；</w:t>
      </w:r>
    </w:p>
    <w:p w14:paraId="07E92F13"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（四）约见有关人员；</w:t>
      </w:r>
    </w:p>
    <w:p w14:paraId="17BFA201"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（五）调阅、查看工作底稿、证券业务活动记录及相关资料；</w:t>
      </w:r>
    </w:p>
    <w:p w14:paraId="2DB6B963"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（六）发出规范运作建议书；</w:t>
      </w:r>
    </w:p>
    <w:p w14:paraId="55F2C735"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lastRenderedPageBreak/>
        <w:t>（七）向中国证监会报告有关情况；</w:t>
      </w:r>
    </w:p>
    <w:p w14:paraId="5DD11797"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（八）向有关单位通报相关情况；</w:t>
      </w:r>
    </w:p>
    <w:p w14:paraId="3982E5CE" w14:textId="77777777" w:rsidR="000C29B8" w:rsidRDefault="00000000">
      <w:pPr>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（九）其他措施。</w:t>
      </w:r>
    </w:p>
    <w:p w14:paraId="6DB6E387" w14:textId="77777777" w:rsidR="000C29B8" w:rsidRDefault="00000000">
      <w:pPr>
        <w:numPr>
          <w:ilvl w:val="2"/>
          <w:numId w:val="59"/>
        </w:numPr>
        <w:tabs>
          <w:tab w:val="clear" w:pos="1418"/>
          <w:tab w:val="left" w:pos="0"/>
          <w:tab w:val="left" w:pos="1560"/>
        </w:tabs>
        <w:snapToGrid w:val="0"/>
        <w:spacing w:line="560" w:lineRule="exact"/>
        <w:ind w:left="0"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本所可以对上市公司、保荐机构、证券服务机构等主体（以下统称检查对象）进行现场检查，相关主体应当积极配合。</w:t>
      </w:r>
    </w:p>
    <w:p w14:paraId="1C43AE20"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前款所述现场检查，是指本所在检查对象的生产、经营、管理场所以及其他相关场所，采取查阅、复制文件和资料、查看实物、谈话及询问等方式，对检查对象的信息披露、公司治理等规范运作情况或者履职情况进行监督检查的行为。</w:t>
      </w:r>
    </w:p>
    <w:p w14:paraId="6B7BD3AB" w14:textId="77777777" w:rsidR="000C29B8" w:rsidRDefault="00000000">
      <w:pPr>
        <w:numPr>
          <w:ilvl w:val="2"/>
          <w:numId w:val="59"/>
        </w:numPr>
        <w:tabs>
          <w:tab w:val="clear" w:pos="1418"/>
          <w:tab w:val="left" w:pos="0"/>
          <w:tab w:val="left" w:pos="1560"/>
        </w:tabs>
        <w:snapToGrid w:val="0"/>
        <w:spacing w:line="560" w:lineRule="exact"/>
        <w:ind w:left="0"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本所认为必要的，可以公开对监管对象采取的日常工作措施，上市公司应当按照本所要求及时披露有关事项。</w:t>
      </w:r>
    </w:p>
    <w:p w14:paraId="0874435B" w14:textId="77777777" w:rsidR="000C29B8" w:rsidRDefault="00000000">
      <w:pPr>
        <w:pStyle w:val="23"/>
        <w:numPr>
          <w:ilvl w:val="1"/>
          <w:numId w:val="1"/>
        </w:numPr>
        <w:ind w:left="0" w:firstLine="643"/>
      </w:pPr>
      <w:bookmarkStart w:id="1035" w:name="_Toc25397"/>
      <w:r>
        <w:rPr>
          <w:rFonts w:hint="eastAsia"/>
        </w:rPr>
        <w:t>违反本规则的处理</w:t>
      </w:r>
      <w:bookmarkEnd w:id="1035"/>
    </w:p>
    <w:p w14:paraId="6F48B3D3" w14:textId="77777777" w:rsidR="000C29B8" w:rsidRDefault="00000000">
      <w:pPr>
        <w:numPr>
          <w:ilvl w:val="2"/>
          <w:numId w:val="60"/>
        </w:numPr>
        <w:tabs>
          <w:tab w:val="left" w:pos="0"/>
          <w:tab w:val="left" w:pos="1560"/>
          <w:tab w:val="left" w:pos="1843"/>
        </w:tabs>
        <w:snapToGrid w:val="0"/>
        <w:spacing w:line="560" w:lineRule="exact"/>
        <w:ind w:left="0"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监管对象违反本规则的，本所可以视情节轻重，对其单独或者合并采取监管措施或者实施纪律处分。</w:t>
      </w:r>
    </w:p>
    <w:p w14:paraId="5327A794" w14:textId="77777777" w:rsidR="000C29B8" w:rsidRDefault="00000000">
      <w:pPr>
        <w:numPr>
          <w:ilvl w:val="2"/>
          <w:numId w:val="60"/>
        </w:numPr>
        <w:tabs>
          <w:tab w:val="left" w:pos="0"/>
          <w:tab w:val="left" w:pos="1560"/>
          <w:tab w:val="left" w:pos="1843"/>
        </w:tabs>
        <w:snapToGrid w:val="0"/>
        <w:spacing w:line="560" w:lineRule="exact"/>
        <w:ind w:left="0"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本所可以根据本规则及本所其他有关规定，视情节轻重对监管对象采取下列监管措施：</w:t>
      </w:r>
    </w:p>
    <w:p w14:paraId="3354B168"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（一）口头警示；</w:t>
      </w:r>
    </w:p>
    <w:p w14:paraId="5326B80C"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（二）书面警示；</w:t>
      </w:r>
    </w:p>
    <w:p w14:paraId="0F6F9953"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（三）监管谈话；</w:t>
      </w:r>
    </w:p>
    <w:p w14:paraId="4759CD62"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（四）要求限期改正；</w:t>
      </w:r>
    </w:p>
    <w:p w14:paraId="5B290656"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（五）要求公开更正、澄清或说明；</w:t>
      </w:r>
    </w:p>
    <w:p w14:paraId="4FE4F3FF"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（六）要求公开致歉；</w:t>
      </w:r>
    </w:p>
    <w:p w14:paraId="1D7166EA"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（七）要求聘请保荐机构、证券服务机构进行核查并发</w:t>
      </w:r>
      <w:r>
        <w:rPr>
          <w:rFonts w:ascii="仿宋_GB2312" w:eastAsia="仿宋_GB2312" w:hAnsi="Arial Unicode MS" w:cs="Arial Unicode MS" w:hint="eastAsia"/>
          <w:sz w:val="32"/>
          <w:szCs w:val="32"/>
        </w:rPr>
        <w:lastRenderedPageBreak/>
        <w:t>表意见；</w:t>
      </w:r>
    </w:p>
    <w:p w14:paraId="2285DA5A"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（八）要求限期参加培训或考试；</w:t>
      </w:r>
    </w:p>
    <w:p w14:paraId="04168325"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（九）要求限期召开投资者说明会；</w:t>
      </w:r>
    </w:p>
    <w:p w14:paraId="6EB1CAC0"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（十）要求上市公司董事会追偿损失；</w:t>
      </w:r>
    </w:p>
    <w:p w14:paraId="35BC1D50"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（十一）对未按要求改正的上市公司股票实施停牌；</w:t>
      </w:r>
    </w:p>
    <w:p w14:paraId="0CBD5FC1"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（十二）对未按要求改正的上市公司暂停适用信息披露直通车业务；</w:t>
      </w:r>
    </w:p>
    <w:p w14:paraId="580F32D9"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（十三）</w:t>
      </w:r>
      <w:r>
        <w:rPr>
          <w:rFonts w:ascii="仿宋_GB2312" w:eastAsia="仿宋_GB2312" w:hAnsi="Arial Unicode MS" w:cs="Arial Unicode MS"/>
          <w:sz w:val="32"/>
          <w:szCs w:val="32"/>
        </w:rPr>
        <w:t>建议上市公司更换相关任职人员</w:t>
      </w:r>
      <w:r>
        <w:rPr>
          <w:rFonts w:ascii="仿宋_GB2312" w:eastAsia="仿宋_GB2312" w:hAnsi="Arial Unicode MS" w:cs="Arial Unicode MS" w:hint="eastAsia"/>
          <w:sz w:val="32"/>
          <w:szCs w:val="32"/>
        </w:rPr>
        <w:t>；</w:t>
      </w:r>
    </w:p>
    <w:p w14:paraId="5A1E9076"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（十四）向相关主管部门出具监管建议函；</w:t>
      </w:r>
    </w:p>
    <w:p w14:paraId="6198F2B4"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（十五）本所规定的其他监管措施。</w:t>
      </w:r>
    </w:p>
    <w:p w14:paraId="43A3DC8D" w14:textId="77777777" w:rsidR="000C29B8" w:rsidRDefault="00000000">
      <w:pPr>
        <w:numPr>
          <w:ilvl w:val="2"/>
          <w:numId w:val="60"/>
        </w:numPr>
        <w:tabs>
          <w:tab w:val="left" w:pos="0"/>
          <w:tab w:val="left" w:pos="1560"/>
          <w:tab w:val="left" w:pos="1843"/>
        </w:tabs>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发行人、上市公司、相关信息披露义务人及相关人员未能履行信息披露义务，</w:t>
      </w:r>
      <w:r>
        <w:rPr>
          <w:rFonts w:ascii="仿宋_GB2312" w:eastAsia="仿宋_GB2312" w:hAnsi="Arial Unicode MS" w:cs="Arial Unicode MS" w:hint="eastAsia"/>
          <w:sz w:val="32"/>
          <w:szCs w:val="32"/>
        </w:rPr>
        <w:t>或者信息披露不符合真实、准确、完整、及时、公平要求，或者存在违反本规则、</w:t>
      </w:r>
      <w:r>
        <w:rPr>
          <w:rFonts w:ascii="仿宋_GB2312" w:eastAsia="仿宋_GB2312" w:hint="eastAsia"/>
          <w:sz w:val="32"/>
          <w:szCs w:val="32"/>
        </w:rPr>
        <w:t>向本所</w:t>
      </w:r>
      <w:proofErr w:type="gramStart"/>
      <w:r>
        <w:rPr>
          <w:rFonts w:ascii="仿宋_GB2312" w:eastAsia="仿宋_GB2312" w:hint="eastAsia"/>
          <w:sz w:val="32"/>
          <w:szCs w:val="32"/>
        </w:rPr>
        <w:t>作出</w:t>
      </w:r>
      <w:proofErr w:type="gramEnd"/>
      <w:r>
        <w:rPr>
          <w:rFonts w:ascii="仿宋_GB2312" w:eastAsia="仿宋_GB2312" w:hint="eastAsia"/>
          <w:sz w:val="32"/>
          <w:szCs w:val="32"/>
        </w:rPr>
        <w:t>的承诺的其他情形的，本所可以视情节轻重实施下列纪律处分：</w:t>
      </w:r>
    </w:p>
    <w:p w14:paraId="0050DC0D"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（一）通报批评；</w:t>
      </w:r>
    </w:p>
    <w:p w14:paraId="3916957F"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（二）公开谴责；</w:t>
      </w:r>
    </w:p>
    <w:p w14:paraId="3271FA83" w14:textId="77777777" w:rsidR="000C29B8" w:rsidRDefault="0000000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（三）收取惩罚性违约金。</w:t>
      </w:r>
    </w:p>
    <w:p w14:paraId="59A43F7E" w14:textId="77777777" w:rsidR="000C29B8" w:rsidRDefault="00000000">
      <w:pPr>
        <w:numPr>
          <w:ilvl w:val="2"/>
          <w:numId w:val="60"/>
        </w:numPr>
        <w:tabs>
          <w:tab w:val="left" w:pos="0"/>
          <w:tab w:val="left" w:pos="1560"/>
          <w:tab w:val="left" w:pos="1843"/>
        </w:tabs>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上市公司控股股东、实际控制人存在下列情形之一的，本所</w:t>
      </w:r>
      <w:r>
        <w:rPr>
          <w:rFonts w:ascii="仿宋_GB2312" w:eastAsia="仿宋_GB2312" w:hint="eastAsia"/>
          <w:sz w:val="32"/>
          <w:szCs w:val="32"/>
        </w:rPr>
        <w:t>可以视情节轻重实施第14.2.5条规定的纪律处分：</w:t>
      </w:r>
    </w:p>
    <w:p w14:paraId="0D249EB1" w14:textId="77777777" w:rsidR="000C29B8" w:rsidRDefault="00000000">
      <w:pPr>
        <w:tabs>
          <w:tab w:val="left" w:pos="1560"/>
          <w:tab w:val="left" w:pos="1986"/>
        </w:tabs>
        <w:snapToGrid w:val="0"/>
        <w:spacing w:line="560" w:lineRule="exact"/>
        <w:rPr>
          <w:rFonts w:ascii="仿宋_GB2312" w:eastAsia="仿宋_GB2312" w:hAnsi="宋体"/>
          <w:sz w:val="32"/>
          <w:szCs w:val="32"/>
        </w:rPr>
      </w:pPr>
      <w:r>
        <w:rPr>
          <w:rFonts w:ascii="仿宋_GB2312" w:eastAsia="仿宋_GB2312" w:hAnsi="宋体" w:hint="eastAsia"/>
          <w:sz w:val="32"/>
          <w:szCs w:val="32"/>
        </w:rPr>
        <w:t xml:space="preserve">    （一）拒不履行或者拒不配合上市公司履行信息披露义务；</w:t>
      </w:r>
    </w:p>
    <w:p w14:paraId="50E89E94" w14:textId="77777777" w:rsidR="000C29B8" w:rsidRDefault="00000000">
      <w:pPr>
        <w:tabs>
          <w:tab w:val="left" w:pos="1560"/>
          <w:tab w:val="left" w:pos="1986"/>
        </w:tabs>
        <w:snapToGrid w:val="0"/>
        <w:spacing w:line="560" w:lineRule="exact"/>
        <w:ind w:firstLine="640"/>
        <w:rPr>
          <w:rFonts w:ascii="仿宋_GB2312" w:eastAsia="仿宋_GB2312" w:hAnsi="宋体"/>
          <w:sz w:val="32"/>
          <w:szCs w:val="32"/>
        </w:rPr>
      </w:pPr>
      <w:r>
        <w:rPr>
          <w:rFonts w:ascii="仿宋_GB2312" w:eastAsia="仿宋_GB2312" w:hAnsi="宋体" w:hint="eastAsia"/>
          <w:sz w:val="32"/>
          <w:szCs w:val="32"/>
        </w:rPr>
        <w:t>（二）违反法律法规、本规则及本所其他规定、公司章</w:t>
      </w:r>
      <w:r>
        <w:rPr>
          <w:rFonts w:ascii="仿宋_GB2312" w:eastAsia="仿宋_GB2312" w:hAnsi="宋体" w:hint="eastAsia"/>
          <w:sz w:val="32"/>
          <w:szCs w:val="32"/>
        </w:rPr>
        <w:lastRenderedPageBreak/>
        <w:t>程，直接或间接干预公司决策和经营活动；</w:t>
      </w:r>
    </w:p>
    <w:p w14:paraId="0718690A" w14:textId="77777777" w:rsidR="000C29B8" w:rsidRDefault="00000000">
      <w:pPr>
        <w:tabs>
          <w:tab w:val="left" w:pos="1560"/>
          <w:tab w:val="left" w:pos="1986"/>
        </w:tabs>
        <w:snapToGrid w:val="0"/>
        <w:spacing w:line="560" w:lineRule="exact"/>
        <w:ind w:firstLine="640"/>
        <w:rPr>
          <w:rFonts w:ascii="仿宋_GB2312" w:eastAsia="仿宋_GB2312" w:hAnsi="宋体"/>
          <w:sz w:val="32"/>
          <w:szCs w:val="32"/>
        </w:rPr>
      </w:pPr>
      <w:r>
        <w:rPr>
          <w:rFonts w:ascii="仿宋_GB2312" w:eastAsia="仿宋_GB2312" w:hAnsi="宋体" w:hint="eastAsia"/>
          <w:sz w:val="32"/>
          <w:szCs w:val="32"/>
        </w:rPr>
        <w:t>（三）利用控股、控制地位，侵害上市公司财产权利，谋取上市公司商业机会，损害上市公司和中小股东合法利益；</w:t>
      </w:r>
    </w:p>
    <w:p w14:paraId="4E824CDE" w14:textId="77777777" w:rsidR="000C29B8" w:rsidRDefault="00000000">
      <w:pPr>
        <w:tabs>
          <w:tab w:val="left" w:pos="1560"/>
          <w:tab w:val="left" w:pos="1986"/>
        </w:tabs>
        <w:snapToGrid w:val="0"/>
        <w:spacing w:line="560" w:lineRule="exact"/>
        <w:ind w:firstLine="640"/>
        <w:rPr>
          <w:rFonts w:ascii="仿宋_GB2312" w:eastAsia="仿宋_GB2312" w:hAnsi="宋体"/>
          <w:sz w:val="32"/>
          <w:szCs w:val="32"/>
        </w:rPr>
      </w:pPr>
      <w:r>
        <w:rPr>
          <w:rFonts w:ascii="仿宋_GB2312" w:eastAsia="仿宋_GB2312" w:hAnsi="宋体" w:hint="eastAsia"/>
          <w:sz w:val="32"/>
          <w:szCs w:val="32"/>
        </w:rPr>
        <w:t>（四）违反向上市公司或者其他股东</w:t>
      </w:r>
      <w:proofErr w:type="gramStart"/>
      <w:r>
        <w:rPr>
          <w:rFonts w:ascii="仿宋_GB2312" w:eastAsia="仿宋_GB2312" w:hAnsi="宋体" w:hint="eastAsia"/>
          <w:sz w:val="32"/>
          <w:szCs w:val="32"/>
        </w:rPr>
        <w:t>作出</w:t>
      </w:r>
      <w:proofErr w:type="gramEnd"/>
      <w:r>
        <w:rPr>
          <w:rFonts w:ascii="仿宋_GB2312" w:eastAsia="仿宋_GB2312" w:hAnsi="宋体" w:hint="eastAsia"/>
          <w:sz w:val="32"/>
          <w:szCs w:val="32"/>
        </w:rPr>
        <w:t>的承诺；</w:t>
      </w:r>
    </w:p>
    <w:p w14:paraId="77CBCF3D" w14:textId="77777777" w:rsidR="000C29B8" w:rsidRDefault="00000000">
      <w:pPr>
        <w:tabs>
          <w:tab w:val="left" w:pos="1560"/>
          <w:tab w:val="left" w:pos="1986"/>
        </w:tabs>
        <w:snapToGrid w:val="0"/>
        <w:spacing w:line="560" w:lineRule="exact"/>
        <w:ind w:firstLine="640"/>
        <w:rPr>
          <w:rFonts w:ascii="仿宋_GB2312" w:eastAsia="仿宋_GB2312" w:hAnsi="宋体"/>
          <w:sz w:val="32"/>
          <w:szCs w:val="32"/>
        </w:rPr>
      </w:pPr>
      <w:r>
        <w:rPr>
          <w:rFonts w:ascii="仿宋_GB2312" w:eastAsia="仿宋_GB2312" w:hAnsi="宋体" w:hint="eastAsia"/>
          <w:sz w:val="32"/>
          <w:szCs w:val="32"/>
        </w:rPr>
        <w:t>（五）违反本规则规定或者向本所</w:t>
      </w:r>
      <w:proofErr w:type="gramStart"/>
      <w:r>
        <w:rPr>
          <w:rFonts w:ascii="仿宋_GB2312" w:eastAsia="仿宋_GB2312" w:hAnsi="宋体" w:hint="eastAsia"/>
          <w:sz w:val="32"/>
          <w:szCs w:val="32"/>
        </w:rPr>
        <w:t>作出</w:t>
      </w:r>
      <w:proofErr w:type="gramEnd"/>
      <w:r>
        <w:rPr>
          <w:rFonts w:ascii="仿宋_GB2312" w:eastAsia="仿宋_GB2312" w:hAnsi="宋体" w:hint="eastAsia"/>
          <w:sz w:val="32"/>
          <w:szCs w:val="32"/>
        </w:rPr>
        <w:t>的承诺的其他情形。</w:t>
      </w:r>
    </w:p>
    <w:p w14:paraId="60DA5B42" w14:textId="77777777" w:rsidR="000C29B8" w:rsidRDefault="00000000">
      <w:pPr>
        <w:numPr>
          <w:ilvl w:val="2"/>
          <w:numId w:val="60"/>
        </w:numPr>
        <w:tabs>
          <w:tab w:val="left" w:pos="0"/>
          <w:tab w:val="left" w:pos="1560"/>
          <w:tab w:val="left" w:pos="1843"/>
        </w:tabs>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上市公司董事、监事、高级管理人员未能履行忠实、勤勉义务，或者存在违反本规则、向本所</w:t>
      </w:r>
      <w:proofErr w:type="gramStart"/>
      <w:r>
        <w:rPr>
          <w:rFonts w:ascii="仿宋_GB2312" w:eastAsia="仿宋_GB2312" w:hAnsi="宋体" w:hint="eastAsia"/>
          <w:sz w:val="32"/>
          <w:szCs w:val="32"/>
        </w:rPr>
        <w:t>作出</w:t>
      </w:r>
      <w:proofErr w:type="gramEnd"/>
      <w:r>
        <w:rPr>
          <w:rFonts w:ascii="仿宋_GB2312" w:eastAsia="仿宋_GB2312" w:hAnsi="宋体" w:hint="eastAsia"/>
          <w:sz w:val="32"/>
          <w:szCs w:val="32"/>
        </w:rPr>
        <w:t>的承诺的其他情形的，本所可以视情节轻重实施下列纪律处分：</w:t>
      </w:r>
    </w:p>
    <w:p w14:paraId="33EBD5CF" w14:textId="77777777" w:rsidR="000C29B8" w:rsidRDefault="00000000">
      <w:pPr>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（一）通报批评；</w:t>
      </w:r>
    </w:p>
    <w:p w14:paraId="79763013" w14:textId="77777777" w:rsidR="000C29B8" w:rsidRDefault="00000000">
      <w:pPr>
        <w:autoSpaceDE w:val="0"/>
        <w:autoSpaceDN w:val="0"/>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（二）公开谴责；</w:t>
      </w:r>
    </w:p>
    <w:p w14:paraId="461F4CDA" w14:textId="77777777" w:rsidR="000C29B8" w:rsidRDefault="00000000">
      <w:pPr>
        <w:autoSpaceDE w:val="0"/>
        <w:autoSpaceDN w:val="0"/>
        <w:snapToGrid w:val="0"/>
        <w:spacing w:line="560" w:lineRule="exact"/>
        <w:ind w:firstLineChars="200" w:firstLine="640"/>
        <w:rPr>
          <w:rFonts w:ascii="仿宋_GB2312" w:eastAsia="仿宋_GB2312" w:hAnsi="宋体"/>
          <w:sz w:val="32"/>
          <w:szCs w:val="32"/>
        </w:rPr>
      </w:pPr>
      <w:bookmarkStart w:id="1036" w:name="OLE_LINK2"/>
      <w:r>
        <w:rPr>
          <w:rFonts w:ascii="仿宋_GB2312" w:eastAsia="仿宋_GB2312" w:hAnsi="宋体" w:hint="eastAsia"/>
          <w:sz w:val="32"/>
          <w:szCs w:val="32"/>
        </w:rPr>
        <w:t>（三）公开认定其3年以上不适合担任上市公司董事</w:t>
      </w:r>
      <w:bookmarkEnd w:id="1036"/>
      <w:r>
        <w:rPr>
          <w:rFonts w:ascii="仿宋_GB2312" w:eastAsia="仿宋_GB2312" w:hAnsi="宋体" w:hint="eastAsia"/>
          <w:sz w:val="32"/>
          <w:szCs w:val="32"/>
        </w:rPr>
        <w:t>、监事、高级管理人员、董事会秘书；</w:t>
      </w:r>
    </w:p>
    <w:p w14:paraId="39D41C17" w14:textId="77777777" w:rsidR="000C29B8" w:rsidRDefault="00000000">
      <w:pPr>
        <w:autoSpaceDE w:val="0"/>
        <w:autoSpaceDN w:val="0"/>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（四）收取惩罚性违约金。</w:t>
      </w:r>
    </w:p>
    <w:p w14:paraId="1946707B" w14:textId="77777777" w:rsidR="000C29B8" w:rsidRDefault="00000000">
      <w:pPr>
        <w:numPr>
          <w:ilvl w:val="2"/>
          <w:numId w:val="60"/>
        </w:numPr>
        <w:tabs>
          <w:tab w:val="left" w:pos="0"/>
          <w:tab w:val="left" w:pos="1560"/>
          <w:tab w:val="left" w:pos="1843"/>
        </w:tabs>
        <w:snapToGrid w:val="0"/>
        <w:spacing w:line="560" w:lineRule="exact"/>
        <w:ind w:left="0" w:firstLineChars="200" w:firstLine="640"/>
        <w:rPr>
          <w:rFonts w:ascii="仿宋_GB2312" w:eastAsia="仿宋_GB2312" w:hAnsi="Arial Unicode MS" w:cs="Arial Unicode MS"/>
          <w:sz w:val="32"/>
          <w:szCs w:val="32"/>
        </w:rPr>
      </w:pPr>
      <w:r>
        <w:rPr>
          <w:rFonts w:ascii="仿宋_GB2312" w:eastAsia="仿宋_GB2312" w:hAnsi="宋体" w:hint="eastAsia"/>
          <w:color w:val="000000"/>
          <w:sz w:val="32"/>
          <w:szCs w:val="32"/>
        </w:rPr>
        <w:t>破产管理人和破产管理</w:t>
      </w:r>
      <w:proofErr w:type="gramStart"/>
      <w:r>
        <w:rPr>
          <w:rFonts w:ascii="仿宋_GB2312" w:eastAsia="仿宋_GB2312" w:hAnsi="宋体" w:hint="eastAsia"/>
          <w:color w:val="000000"/>
          <w:sz w:val="32"/>
          <w:szCs w:val="32"/>
        </w:rPr>
        <w:t>人成员</w:t>
      </w:r>
      <w:proofErr w:type="gramEnd"/>
      <w:r>
        <w:rPr>
          <w:rFonts w:ascii="仿宋_GB2312" w:eastAsia="仿宋_GB2312" w:hAnsi="宋体" w:hint="eastAsia"/>
          <w:color w:val="000000"/>
          <w:sz w:val="32"/>
          <w:szCs w:val="32"/>
        </w:rPr>
        <w:t>违反本规则规定的，</w:t>
      </w:r>
      <w:r>
        <w:rPr>
          <w:rFonts w:ascii="仿宋_GB2312" w:eastAsia="仿宋_GB2312" w:hAnsi="宋体" w:hint="eastAsia"/>
          <w:sz w:val="32"/>
          <w:szCs w:val="32"/>
        </w:rPr>
        <w:t>本所可以视情节轻重实施下列纪律处分：</w:t>
      </w:r>
    </w:p>
    <w:p w14:paraId="3E55D528" w14:textId="77777777" w:rsidR="000C29B8" w:rsidRDefault="00000000">
      <w:pPr>
        <w:tabs>
          <w:tab w:val="left" w:pos="1080"/>
        </w:tabs>
        <w:autoSpaceDE w:val="0"/>
        <w:autoSpaceDN w:val="0"/>
        <w:adjustRightInd w:val="0"/>
        <w:snapToGrid w:val="0"/>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（一）通报批评；</w:t>
      </w:r>
    </w:p>
    <w:p w14:paraId="7DDF3B64" w14:textId="77777777" w:rsidR="000C29B8" w:rsidRDefault="00000000">
      <w:pPr>
        <w:tabs>
          <w:tab w:val="left" w:pos="1080"/>
        </w:tabs>
        <w:autoSpaceDE w:val="0"/>
        <w:autoSpaceDN w:val="0"/>
        <w:adjustRightInd w:val="0"/>
        <w:snapToGrid w:val="0"/>
        <w:spacing w:line="5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（二）公开谴责；</w:t>
      </w:r>
    </w:p>
    <w:p w14:paraId="77F65FB0" w14:textId="77777777" w:rsidR="000C29B8" w:rsidRDefault="00000000">
      <w:pPr>
        <w:tabs>
          <w:tab w:val="left" w:pos="1560"/>
          <w:tab w:val="left" w:pos="1986"/>
        </w:tabs>
        <w:snapToGrid w:val="0"/>
        <w:spacing w:line="560" w:lineRule="exact"/>
        <w:ind w:left="640"/>
        <w:rPr>
          <w:rFonts w:ascii="仿宋_GB2312" w:eastAsia="仿宋_GB2312" w:hAnsi="宋体"/>
          <w:color w:val="000000"/>
          <w:sz w:val="32"/>
          <w:szCs w:val="32"/>
        </w:rPr>
      </w:pPr>
      <w:r>
        <w:rPr>
          <w:rFonts w:ascii="仿宋_GB2312" w:eastAsia="仿宋_GB2312" w:hAnsi="宋体" w:hint="eastAsia"/>
          <w:color w:val="000000"/>
          <w:sz w:val="32"/>
          <w:szCs w:val="32"/>
        </w:rPr>
        <w:t>（三）建议法院更换破产管理人或破产管理人成员。</w:t>
      </w:r>
    </w:p>
    <w:p w14:paraId="41C1E696" w14:textId="77777777" w:rsidR="000C29B8" w:rsidRDefault="00000000">
      <w:pPr>
        <w:numPr>
          <w:ilvl w:val="2"/>
          <w:numId w:val="60"/>
        </w:numPr>
        <w:tabs>
          <w:tab w:val="left" w:pos="0"/>
          <w:tab w:val="left" w:pos="1560"/>
          <w:tab w:val="left" w:pos="1843"/>
        </w:tabs>
        <w:snapToGrid w:val="0"/>
        <w:spacing w:line="560" w:lineRule="exact"/>
        <w:ind w:left="0" w:firstLineChars="200" w:firstLine="640"/>
        <w:rPr>
          <w:rFonts w:ascii="仿宋_GB2312" w:eastAsia="仿宋_GB2312"/>
          <w:sz w:val="32"/>
          <w:szCs w:val="32"/>
        </w:rPr>
      </w:pPr>
      <w:r>
        <w:rPr>
          <w:rFonts w:ascii="仿宋_GB2312" w:eastAsia="仿宋_GB2312" w:hint="eastAsia"/>
          <w:sz w:val="32"/>
          <w:szCs w:val="32"/>
        </w:rPr>
        <w:t>上市公司股东减持股</w:t>
      </w:r>
      <w:proofErr w:type="gramStart"/>
      <w:r>
        <w:rPr>
          <w:rFonts w:ascii="仿宋_GB2312" w:eastAsia="仿宋_GB2312" w:hint="eastAsia"/>
          <w:sz w:val="32"/>
          <w:szCs w:val="32"/>
        </w:rPr>
        <w:t>份违反</w:t>
      </w:r>
      <w:proofErr w:type="gramEnd"/>
      <w:r>
        <w:rPr>
          <w:rFonts w:ascii="仿宋_GB2312" w:eastAsia="仿宋_GB2312" w:hint="eastAsia"/>
          <w:sz w:val="32"/>
          <w:szCs w:val="32"/>
        </w:rPr>
        <w:t>本规则，或者通过交易、转让或者其他安排规避本规则的，本所可以采取书面警示、通报批评、公开谴责、限制交易等监管措施或者纪律处分。</w:t>
      </w:r>
    </w:p>
    <w:p w14:paraId="46B7E7E0" w14:textId="77777777" w:rsidR="000C29B8" w:rsidRDefault="00000000">
      <w:pPr>
        <w:tabs>
          <w:tab w:val="left" w:pos="1560"/>
        </w:tabs>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违规减</w:t>
      </w:r>
      <w:proofErr w:type="gramStart"/>
      <w:r>
        <w:rPr>
          <w:rFonts w:ascii="仿宋_GB2312" w:eastAsia="仿宋_GB2312" w:hint="eastAsia"/>
          <w:sz w:val="32"/>
          <w:szCs w:val="32"/>
        </w:rPr>
        <w:t>持行为</w:t>
      </w:r>
      <w:proofErr w:type="gramEnd"/>
      <w:r>
        <w:rPr>
          <w:rFonts w:ascii="仿宋_GB2312" w:eastAsia="仿宋_GB2312" w:hint="eastAsia"/>
          <w:sz w:val="32"/>
          <w:szCs w:val="32"/>
        </w:rPr>
        <w:t>导致股价异常波动、严重影响市场交易秩</w:t>
      </w:r>
      <w:r>
        <w:rPr>
          <w:rFonts w:ascii="仿宋_GB2312" w:eastAsia="仿宋_GB2312" w:hint="eastAsia"/>
          <w:sz w:val="32"/>
          <w:szCs w:val="32"/>
        </w:rPr>
        <w:lastRenderedPageBreak/>
        <w:t>序或者损害投资者利益的，本所从重予以处分。</w:t>
      </w:r>
    </w:p>
    <w:p w14:paraId="18475EFC" w14:textId="77777777" w:rsidR="000C29B8" w:rsidRDefault="00000000">
      <w:pPr>
        <w:numPr>
          <w:ilvl w:val="2"/>
          <w:numId w:val="60"/>
        </w:numPr>
        <w:tabs>
          <w:tab w:val="left" w:pos="0"/>
          <w:tab w:val="left" w:pos="1560"/>
          <w:tab w:val="left" w:pos="1843"/>
        </w:tabs>
        <w:snapToGrid w:val="0"/>
        <w:spacing w:line="560" w:lineRule="exact"/>
        <w:ind w:left="0"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保荐机构、保荐代表人、证券服务机构及其相关人员未按本规则履行职责，或者履行职责过程中未能诚实守信、勤勉尽责的，本所可以根据情节轻重，对其采取口头警示、书面警示、监管谈话、要求限期改正等相应监管措施或者实施通报批评、公开谴责等纪律处分。</w:t>
      </w:r>
    </w:p>
    <w:p w14:paraId="05139E86" w14:textId="77777777" w:rsidR="000C29B8" w:rsidRDefault="00000000">
      <w:pPr>
        <w:tabs>
          <w:tab w:val="left" w:pos="1560"/>
          <w:tab w:val="left" w:pos="1986"/>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前款规定的主体制作或者出具的文件存在虚假记载、误导性陈述或者重大遗漏的，本所可以采取3个月至3年内不接受保荐机构、证券服务机构提交的申请文件或信息披露文件，1年至3年内不接受保荐代表人及其他相关人员、证券服务机构相关人员签字的申请文件或者信息披露文件的纪律处分。</w:t>
      </w:r>
    </w:p>
    <w:p w14:paraId="5CB53E43" w14:textId="77777777" w:rsidR="000C29B8" w:rsidRDefault="00000000">
      <w:pPr>
        <w:numPr>
          <w:ilvl w:val="2"/>
          <w:numId w:val="60"/>
        </w:numPr>
        <w:tabs>
          <w:tab w:val="left" w:pos="0"/>
          <w:tab w:val="left" w:pos="1560"/>
          <w:tab w:val="left" w:pos="1843"/>
        </w:tabs>
        <w:snapToGrid w:val="0"/>
        <w:spacing w:line="560" w:lineRule="exact"/>
        <w:ind w:left="0"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上市公司出现下列情形之一，保荐机构、保荐代表人未能诚实守信、勤勉尽责的，本所可以根据情节轻重，对相关机构及其人员采取前条规定的监管措施或者纪律处分：</w:t>
      </w:r>
    </w:p>
    <w:p w14:paraId="30228A66" w14:textId="77777777" w:rsidR="000C29B8" w:rsidRDefault="00000000">
      <w:pPr>
        <w:tabs>
          <w:tab w:val="left" w:pos="1560"/>
          <w:tab w:val="left" w:pos="1986"/>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（一）信息披露文件存在虚假记载、误导性陈述或者重大遗漏；</w:t>
      </w:r>
    </w:p>
    <w:p w14:paraId="382440C6" w14:textId="77777777" w:rsidR="000C29B8" w:rsidRDefault="00000000">
      <w:pPr>
        <w:tabs>
          <w:tab w:val="left" w:pos="1560"/>
          <w:tab w:val="left" w:pos="1986"/>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（二）控股股东、实际控制人或其他关联方违规占用上市公司资金；</w:t>
      </w:r>
    </w:p>
    <w:p w14:paraId="61D5BDF9" w14:textId="77777777" w:rsidR="000C29B8" w:rsidRDefault="00000000">
      <w:pPr>
        <w:tabs>
          <w:tab w:val="left" w:pos="1560"/>
          <w:tab w:val="left" w:pos="1986"/>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（三）董事、监事、高级管理人员因侵害上市公司利益受到行政处罚或者被追究刑事责任；</w:t>
      </w:r>
    </w:p>
    <w:p w14:paraId="5FE5F5B0" w14:textId="77777777" w:rsidR="000C29B8" w:rsidRDefault="00000000">
      <w:pPr>
        <w:tabs>
          <w:tab w:val="left" w:pos="1560"/>
          <w:tab w:val="left" w:pos="1986"/>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（四）违规提供担保；</w:t>
      </w:r>
    </w:p>
    <w:p w14:paraId="140F40EC" w14:textId="77777777" w:rsidR="000C29B8" w:rsidRDefault="00000000">
      <w:pPr>
        <w:tabs>
          <w:tab w:val="left" w:pos="1560"/>
          <w:tab w:val="left" w:pos="1986"/>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（五）违反规范运作和信息披露相关规定的其他情形。</w:t>
      </w:r>
    </w:p>
    <w:p w14:paraId="283A6B5D" w14:textId="77777777" w:rsidR="000C29B8" w:rsidRDefault="00000000">
      <w:pPr>
        <w:numPr>
          <w:ilvl w:val="2"/>
          <w:numId w:val="60"/>
        </w:numPr>
        <w:tabs>
          <w:tab w:val="left" w:pos="0"/>
          <w:tab w:val="left" w:pos="1560"/>
          <w:tab w:val="left" w:pos="1843"/>
        </w:tabs>
        <w:snapToGrid w:val="0"/>
        <w:spacing w:line="560" w:lineRule="exact"/>
        <w:ind w:left="0"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lastRenderedPageBreak/>
        <w:t>纪律处分由本所根据纪律处分委员会的意见</w:t>
      </w:r>
      <w:proofErr w:type="gramStart"/>
      <w:r>
        <w:rPr>
          <w:rFonts w:ascii="仿宋_GB2312" w:eastAsia="仿宋_GB2312" w:hAnsi="Arial Unicode MS" w:cs="Arial Unicode MS" w:hint="eastAsia"/>
          <w:sz w:val="32"/>
          <w:szCs w:val="32"/>
        </w:rPr>
        <w:t>作出</w:t>
      </w:r>
      <w:proofErr w:type="gramEnd"/>
      <w:r>
        <w:rPr>
          <w:rFonts w:ascii="仿宋_GB2312" w:eastAsia="仿宋_GB2312" w:hAnsi="Arial Unicode MS" w:cs="Arial Unicode MS" w:hint="eastAsia"/>
          <w:sz w:val="32"/>
          <w:szCs w:val="32"/>
        </w:rPr>
        <w:t>决定并实施，监管措施由本所或者本所公司监管部门根据相关规则的规定</w:t>
      </w:r>
      <w:proofErr w:type="gramStart"/>
      <w:r>
        <w:rPr>
          <w:rFonts w:ascii="仿宋_GB2312" w:eastAsia="仿宋_GB2312" w:hAnsi="Arial Unicode MS" w:cs="Arial Unicode MS" w:hint="eastAsia"/>
          <w:sz w:val="32"/>
          <w:szCs w:val="32"/>
        </w:rPr>
        <w:t>作出</w:t>
      </w:r>
      <w:proofErr w:type="gramEnd"/>
      <w:r>
        <w:rPr>
          <w:rFonts w:ascii="仿宋_GB2312" w:eastAsia="仿宋_GB2312" w:hAnsi="Arial Unicode MS" w:cs="Arial Unicode MS" w:hint="eastAsia"/>
          <w:sz w:val="32"/>
          <w:szCs w:val="32"/>
        </w:rPr>
        <w:t>决定并实施。</w:t>
      </w:r>
    </w:p>
    <w:p w14:paraId="64358927" w14:textId="77777777" w:rsidR="000C29B8" w:rsidRDefault="00000000">
      <w:pPr>
        <w:numPr>
          <w:ilvl w:val="2"/>
          <w:numId w:val="60"/>
        </w:numPr>
        <w:tabs>
          <w:tab w:val="left" w:pos="0"/>
          <w:tab w:val="left" w:pos="1560"/>
          <w:tab w:val="left" w:pos="1843"/>
        </w:tabs>
        <w:snapToGrid w:val="0"/>
        <w:spacing w:line="560" w:lineRule="exact"/>
        <w:ind w:left="0"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纪律处分对象对本所纪律处分意向书有异议的，可以按照本所关于听证程序的相关规定，向本所提出听证要求。</w:t>
      </w:r>
    </w:p>
    <w:p w14:paraId="74DB8A1C" w14:textId="77777777" w:rsidR="000C29B8" w:rsidRDefault="00000000">
      <w:pPr>
        <w:numPr>
          <w:ilvl w:val="2"/>
          <w:numId w:val="60"/>
        </w:numPr>
        <w:tabs>
          <w:tab w:val="left" w:pos="0"/>
          <w:tab w:val="left" w:pos="1560"/>
          <w:tab w:val="left" w:pos="1843"/>
        </w:tabs>
        <w:snapToGrid w:val="0"/>
        <w:spacing w:line="560" w:lineRule="exact"/>
        <w:ind w:left="0"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纪律处分对象不服本所纪律处分决定的，可以按照本所关于复核程序的相关规定，向本所复核委员会申请复核。复核期间不停止该处分决定的执行。</w:t>
      </w:r>
    </w:p>
    <w:p w14:paraId="254E586C" w14:textId="77777777" w:rsidR="000C29B8" w:rsidRDefault="00000000">
      <w:pPr>
        <w:numPr>
          <w:ilvl w:val="2"/>
          <w:numId w:val="60"/>
        </w:numPr>
        <w:tabs>
          <w:tab w:val="left" w:pos="0"/>
          <w:tab w:val="left" w:pos="1560"/>
          <w:tab w:val="left" w:pos="1843"/>
        </w:tabs>
        <w:snapToGrid w:val="0"/>
        <w:spacing w:line="560" w:lineRule="exact"/>
        <w:ind w:left="0"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本所建立监管对象诚信公示制度，公开对监管对象实施监管措施或纪律处分的情况，记入诚信档案，并向中国证监会报告。</w:t>
      </w:r>
    </w:p>
    <w:p w14:paraId="49A2F1A3" w14:textId="77777777" w:rsidR="000C29B8" w:rsidRDefault="00000000">
      <w:pPr>
        <w:tabs>
          <w:tab w:val="left" w:pos="1560"/>
        </w:tabs>
        <w:snapToGrid w:val="0"/>
        <w:spacing w:line="560" w:lineRule="exact"/>
        <w:ind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本所可以要求监管对象在中国证监会指定媒体或本所网站就被实施监管措施或纪律处分的相关情况</w:t>
      </w:r>
      <w:proofErr w:type="gramStart"/>
      <w:r>
        <w:rPr>
          <w:rFonts w:ascii="仿宋_GB2312" w:eastAsia="仿宋_GB2312" w:hAnsi="Arial Unicode MS" w:cs="Arial Unicode MS" w:hint="eastAsia"/>
          <w:sz w:val="32"/>
          <w:szCs w:val="32"/>
        </w:rPr>
        <w:t>作出</w:t>
      </w:r>
      <w:proofErr w:type="gramEnd"/>
      <w:r>
        <w:rPr>
          <w:rFonts w:ascii="仿宋_GB2312" w:eastAsia="仿宋_GB2312" w:hAnsi="Arial Unicode MS" w:cs="Arial Unicode MS" w:hint="eastAsia"/>
          <w:sz w:val="32"/>
          <w:szCs w:val="32"/>
        </w:rPr>
        <w:t>公告。</w:t>
      </w:r>
    </w:p>
    <w:p w14:paraId="0B1CE238" w14:textId="77777777" w:rsidR="000C29B8" w:rsidRDefault="00000000">
      <w:pPr>
        <w:numPr>
          <w:ilvl w:val="2"/>
          <w:numId w:val="60"/>
        </w:numPr>
        <w:tabs>
          <w:tab w:val="left" w:pos="0"/>
          <w:tab w:val="left" w:pos="1560"/>
          <w:tab w:val="left" w:pos="1843"/>
        </w:tabs>
        <w:snapToGrid w:val="0"/>
        <w:spacing w:line="560" w:lineRule="exact"/>
        <w:ind w:left="0" w:firstLineChars="200" w:firstLine="640"/>
        <w:rPr>
          <w:rFonts w:ascii="仿宋_GB2312" w:eastAsia="仿宋_GB2312" w:hAnsi="Arial Unicode MS" w:cs="Arial Unicode MS"/>
          <w:sz w:val="32"/>
          <w:szCs w:val="32"/>
        </w:rPr>
      </w:pPr>
      <w:r>
        <w:rPr>
          <w:rFonts w:ascii="仿宋_GB2312" w:eastAsia="仿宋_GB2312" w:hAnsi="Arial Unicode MS" w:cs="Arial Unicode MS" w:hint="eastAsia"/>
          <w:sz w:val="32"/>
          <w:szCs w:val="32"/>
        </w:rPr>
        <w:t>监管对象被本所实施监管措施或者纪律处分，本所要求其自查整改的，监管对象应当及时报送并按要求披露相关自查整改报告。</w:t>
      </w:r>
    </w:p>
    <w:p w14:paraId="6E1F3650" w14:textId="77777777" w:rsidR="000C29B8" w:rsidRDefault="000C29B8">
      <w:pPr>
        <w:spacing w:line="560" w:lineRule="exact"/>
        <w:ind w:firstLineChars="200" w:firstLine="640"/>
        <w:rPr>
          <w:sz w:val="32"/>
          <w:szCs w:val="32"/>
        </w:rPr>
      </w:pPr>
    </w:p>
    <w:p w14:paraId="3E738F34" w14:textId="77777777" w:rsidR="000C29B8" w:rsidRDefault="00000000">
      <w:pPr>
        <w:pStyle w:val="7"/>
        <w:numPr>
          <w:ilvl w:val="0"/>
          <w:numId w:val="1"/>
        </w:numPr>
        <w:ind w:left="0" w:firstLine="643"/>
        <w:rPr>
          <w:b/>
        </w:rPr>
      </w:pPr>
      <w:bookmarkStart w:id="1037" w:name="_Toc15158"/>
      <w:r>
        <w:rPr>
          <w:rFonts w:hint="eastAsia"/>
          <w:b/>
        </w:rPr>
        <w:t>释</w:t>
      </w:r>
      <w:r>
        <w:rPr>
          <w:b/>
        </w:rPr>
        <w:t xml:space="preserve">  </w:t>
      </w:r>
      <w:r>
        <w:rPr>
          <w:rFonts w:hint="eastAsia"/>
          <w:b/>
        </w:rPr>
        <w:t>义</w:t>
      </w:r>
      <w:bookmarkEnd w:id="1037"/>
    </w:p>
    <w:p w14:paraId="72498658" w14:textId="77777777" w:rsidR="000C29B8" w:rsidRDefault="00000000">
      <w:pPr>
        <w:numPr>
          <w:ilvl w:val="2"/>
          <w:numId w:val="61"/>
        </w:numPr>
        <w:tabs>
          <w:tab w:val="clear" w:pos="1418"/>
          <w:tab w:val="left" w:pos="0"/>
          <w:tab w:val="left" w:pos="1560"/>
        </w:tabs>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本规则下列用语含义如下：</w:t>
      </w:r>
    </w:p>
    <w:p w14:paraId="09B3D09D"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上市公司，指其股票、存托凭证及其衍生品种在</w:t>
      </w:r>
      <w:proofErr w:type="gramStart"/>
      <w:r>
        <w:rPr>
          <w:rFonts w:ascii="仿宋_GB2312" w:hAnsi="宋体" w:hint="eastAsia"/>
          <w:sz w:val="32"/>
          <w:szCs w:val="32"/>
        </w:rPr>
        <w:t>本所科创板上市</w:t>
      </w:r>
      <w:proofErr w:type="gramEnd"/>
      <w:r>
        <w:rPr>
          <w:rFonts w:ascii="仿宋_GB2312" w:hAnsi="宋体" w:hint="eastAsia"/>
          <w:sz w:val="32"/>
          <w:szCs w:val="32"/>
        </w:rPr>
        <w:t>的股份有限公司。</w:t>
      </w:r>
    </w:p>
    <w:p w14:paraId="5256C737"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Times New Roman" w:hAnsi="Times New Roman" w:hint="eastAsia"/>
          <w:sz w:val="32"/>
          <w:szCs w:val="32"/>
        </w:rPr>
        <w:t>上市时未盈利，指公司上市前一个会计年度经审计扣除非经常性损益</w:t>
      </w:r>
      <w:proofErr w:type="gramStart"/>
      <w:r>
        <w:rPr>
          <w:rFonts w:ascii="Times New Roman" w:hAnsi="Times New Roman" w:hint="eastAsia"/>
          <w:sz w:val="32"/>
          <w:szCs w:val="32"/>
        </w:rPr>
        <w:t>前后净</w:t>
      </w:r>
      <w:proofErr w:type="gramEnd"/>
      <w:r>
        <w:rPr>
          <w:rFonts w:ascii="Times New Roman" w:hAnsi="Times New Roman" w:hint="eastAsia"/>
          <w:sz w:val="32"/>
          <w:szCs w:val="32"/>
        </w:rPr>
        <w:t>利润孰低者为负。</w:t>
      </w:r>
    </w:p>
    <w:p w14:paraId="66255AF3"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int="eastAsia"/>
          <w:sz w:val="32"/>
          <w:szCs w:val="32"/>
        </w:rPr>
        <w:lastRenderedPageBreak/>
        <w:t>实现盈利，指上市时未盈利</w:t>
      </w:r>
      <w:proofErr w:type="gramStart"/>
      <w:r>
        <w:rPr>
          <w:rFonts w:ascii="仿宋_GB2312" w:hint="eastAsia"/>
          <w:sz w:val="32"/>
          <w:szCs w:val="32"/>
        </w:rPr>
        <w:t>的科创企业</w:t>
      </w:r>
      <w:proofErr w:type="gramEnd"/>
      <w:r>
        <w:rPr>
          <w:rFonts w:ascii="仿宋_GB2312" w:hint="eastAsia"/>
          <w:sz w:val="32"/>
          <w:szCs w:val="32"/>
        </w:rPr>
        <w:t>上市后首次在一个完整会计年度实现盈利。</w:t>
      </w:r>
    </w:p>
    <w:p w14:paraId="421F118A"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int="eastAsia"/>
          <w:sz w:val="32"/>
          <w:szCs w:val="32"/>
        </w:rPr>
        <w:t>协议控制架构，指红</w:t>
      </w:r>
      <w:proofErr w:type="gramStart"/>
      <w:r>
        <w:rPr>
          <w:rFonts w:ascii="仿宋_GB2312" w:hint="eastAsia"/>
          <w:sz w:val="32"/>
          <w:szCs w:val="32"/>
        </w:rPr>
        <w:t>筹企业</w:t>
      </w:r>
      <w:proofErr w:type="gramEnd"/>
      <w:r>
        <w:rPr>
          <w:rFonts w:ascii="仿宋_GB2312" w:hint="eastAsia"/>
          <w:sz w:val="32"/>
          <w:szCs w:val="32"/>
        </w:rPr>
        <w:t>通过协议方式实际控制境内实体运营企业的一种投资结构。</w:t>
      </w:r>
    </w:p>
    <w:p w14:paraId="3CF0BF3D"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int="eastAsia"/>
          <w:sz w:val="32"/>
          <w:szCs w:val="32"/>
        </w:rPr>
        <w:t>红筹企业</w:t>
      </w:r>
      <w:r>
        <w:rPr>
          <w:rFonts w:ascii="仿宋_GB2312" w:hAnsi="宋体" w:hint="eastAsia"/>
          <w:sz w:val="32"/>
          <w:szCs w:val="32"/>
        </w:rPr>
        <w:t>，指注册地在境外，主要经营活动在境内的企业。</w:t>
      </w:r>
    </w:p>
    <w:p w14:paraId="7AE55468"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相关信息披露义务人，指</w:t>
      </w:r>
      <w:r>
        <w:rPr>
          <w:rFonts w:ascii="仿宋_GB2312" w:hAnsi="宋体" w:hint="eastAsia"/>
          <w:bCs/>
          <w:iCs/>
          <w:kern w:val="28"/>
          <w:sz w:val="32"/>
          <w:szCs w:val="32"/>
        </w:rPr>
        <w:t>发行人、</w:t>
      </w:r>
      <w:r>
        <w:rPr>
          <w:rFonts w:ascii="仿宋_GB2312" w:hAnsi="宋体" w:hint="eastAsia"/>
          <w:sz w:val="32"/>
          <w:szCs w:val="32"/>
        </w:rPr>
        <w:t>上市公司的董事、监事、高级管理人员、核心技术人员、股东或存托凭证持有人、实际控制人、收购人及其相关人员、重大资产重组交易对方及其相关人员、破产管理人及其成员等。</w:t>
      </w:r>
    </w:p>
    <w:p w14:paraId="4AE42466"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及时，指自起算日起或触及本规则披露时点的2个交易日内。</w:t>
      </w:r>
    </w:p>
    <w:p w14:paraId="2D553865"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披露，指上市公司或相关信息披露义务人按法律法规、本规则及本所其他规定在本所网站和其他指定媒体上公告信息。</w:t>
      </w:r>
    </w:p>
    <w:p w14:paraId="39613E47"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直通车业务，指上市公司按照本规则的规定，通过本所信息披露系统自行登记和上传信息披露文件，并直接提交至本所网站及其他指定媒体进行披露的信息披露方式。</w:t>
      </w:r>
    </w:p>
    <w:p w14:paraId="629EFD7C"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独立董事，指不在上市公司担任除董事外的其他职务，并与其所受聘的上市公司及其主要股东、实际控制人不存在直接或者间接利害关系，或者其他可能影响其进行独立客观判断关系的董事。</w:t>
      </w:r>
    </w:p>
    <w:p w14:paraId="086F7A22"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高级管理人员，指公司经理、副经理、董事会秘书、财务负责人及公司章程规定的其他人员。</w:t>
      </w:r>
    </w:p>
    <w:p w14:paraId="37AD1609"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lastRenderedPageBreak/>
        <w:t>控股股东，指其持有的股份占公司股本总额50%以上的股东，或者持有股份的比例虽然不足50%，但依其持有的股份所享有的表决权已足以对股东大会的决议产生重大影响的股东。</w:t>
      </w:r>
    </w:p>
    <w:p w14:paraId="06332D24"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实际控制人，指虽不是公司的股东，但通过投资关系、协议或者其他安排，能够实际支配公司行为的人。</w:t>
      </w:r>
    </w:p>
    <w:p w14:paraId="745777B2"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上市公司控股子公司，指上市公司持有其50%以上的股份，或者能够决定其董事会半数以上成员的当选，或者通过协议或其他安排能够实际控制的公司。</w:t>
      </w:r>
    </w:p>
    <w:p w14:paraId="5A97DBA7"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上市公司的关联人，指具有下列情形之一的自然人、法人或其他组织：</w:t>
      </w:r>
    </w:p>
    <w:p w14:paraId="0ED27667" w14:textId="77777777" w:rsidR="000C29B8" w:rsidRDefault="00000000">
      <w:pPr>
        <w:pStyle w:val="afa"/>
        <w:numPr>
          <w:ilvl w:val="0"/>
          <w:numId w:val="63"/>
        </w:numPr>
        <w:tabs>
          <w:tab w:val="left" w:pos="993"/>
          <w:tab w:val="left" w:pos="1560"/>
        </w:tabs>
        <w:spacing w:line="560" w:lineRule="exact"/>
        <w:ind w:left="0" w:firstLine="640"/>
        <w:rPr>
          <w:rFonts w:ascii="仿宋_GB2312"/>
          <w:sz w:val="32"/>
          <w:szCs w:val="32"/>
        </w:rPr>
      </w:pPr>
      <w:r>
        <w:rPr>
          <w:rFonts w:ascii="仿宋_GB2312" w:hint="eastAsia"/>
          <w:sz w:val="32"/>
          <w:szCs w:val="32"/>
        </w:rPr>
        <w:t>直接或者间接控制上市公司的自然人、法人或其他组织；</w:t>
      </w:r>
    </w:p>
    <w:p w14:paraId="3B151400" w14:textId="77777777" w:rsidR="000C29B8" w:rsidRDefault="00000000">
      <w:pPr>
        <w:pStyle w:val="afa"/>
        <w:numPr>
          <w:ilvl w:val="0"/>
          <w:numId w:val="63"/>
        </w:numPr>
        <w:tabs>
          <w:tab w:val="left" w:pos="993"/>
          <w:tab w:val="left" w:pos="1560"/>
        </w:tabs>
        <w:spacing w:line="560" w:lineRule="exact"/>
        <w:ind w:left="0" w:firstLine="640"/>
        <w:rPr>
          <w:rFonts w:ascii="仿宋_GB2312"/>
          <w:sz w:val="32"/>
          <w:szCs w:val="32"/>
        </w:rPr>
      </w:pPr>
      <w:r>
        <w:rPr>
          <w:rFonts w:ascii="仿宋_GB2312" w:hint="eastAsia"/>
          <w:sz w:val="32"/>
          <w:szCs w:val="32"/>
        </w:rPr>
        <w:t>直接或间接持有上市公司5%以上股份的自然人；</w:t>
      </w:r>
    </w:p>
    <w:p w14:paraId="32AD21E3" w14:textId="77777777" w:rsidR="000C29B8" w:rsidRDefault="00000000">
      <w:pPr>
        <w:pStyle w:val="afa"/>
        <w:numPr>
          <w:ilvl w:val="0"/>
          <w:numId w:val="63"/>
        </w:numPr>
        <w:tabs>
          <w:tab w:val="left" w:pos="993"/>
          <w:tab w:val="left" w:pos="1560"/>
        </w:tabs>
        <w:spacing w:line="560" w:lineRule="exact"/>
        <w:ind w:left="0" w:firstLine="640"/>
        <w:rPr>
          <w:rFonts w:ascii="仿宋_GB2312"/>
          <w:sz w:val="32"/>
          <w:szCs w:val="32"/>
        </w:rPr>
      </w:pPr>
      <w:r>
        <w:rPr>
          <w:rFonts w:ascii="仿宋_GB2312" w:hint="eastAsia"/>
          <w:sz w:val="32"/>
          <w:szCs w:val="32"/>
        </w:rPr>
        <w:t>上市公司董事、监事或高级管理人员；</w:t>
      </w:r>
    </w:p>
    <w:p w14:paraId="36F9CBCB" w14:textId="77777777" w:rsidR="000C29B8" w:rsidRDefault="00000000">
      <w:pPr>
        <w:pStyle w:val="afa"/>
        <w:numPr>
          <w:ilvl w:val="0"/>
          <w:numId w:val="63"/>
        </w:numPr>
        <w:tabs>
          <w:tab w:val="left" w:pos="993"/>
          <w:tab w:val="left" w:pos="1560"/>
        </w:tabs>
        <w:spacing w:line="560" w:lineRule="exact"/>
        <w:ind w:left="0" w:firstLine="640"/>
        <w:rPr>
          <w:rFonts w:ascii="仿宋_GB2312"/>
          <w:sz w:val="32"/>
          <w:szCs w:val="32"/>
        </w:rPr>
      </w:pPr>
      <w:r>
        <w:rPr>
          <w:rFonts w:ascii="仿宋_GB2312" w:hint="eastAsia"/>
          <w:sz w:val="32"/>
          <w:szCs w:val="32"/>
        </w:rPr>
        <w:t>与本项第1目、第2目和第3目所述关联自然人关系密切的家庭成员，包括配偶、年满18周岁的子女及其配偶、父母及配偶的父母、兄弟姐妹及其配偶、配偶的兄弟姐妹、子女配偶的父母；</w:t>
      </w:r>
    </w:p>
    <w:p w14:paraId="280C0BC8" w14:textId="77777777" w:rsidR="000C29B8" w:rsidRDefault="00000000">
      <w:pPr>
        <w:pStyle w:val="afa"/>
        <w:numPr>
          <w:ilvl w:val="0"/>
          <w:numId w:val="63"/>
        </w:numPr>
        <w:tabs>
          <w:tab w:val="left" w:pos="993"/>
          <w:tab w:val="left" w:pos="1560"/>
        </w:tabs>
        <w:spacing w:line="560" w:lineRule="exact"/>
        <w:ind w:left="0" w:firstLine="640"/>
        <w:rPr>
          <w:rFonts w:ascii="仿宋_GB2312"/>
          <w:sz w:val="32"/>
          <w:szCs w:val="32"/>
        </w:rPr>
      </w:pPr>
      <w:r>
        <w:rPr>
          <w:rFonts w:ascii="仿宋_GB2312" w:hint="eastAsia"/>
          <w:sz w:val="32"/>
          <w:szCs w:val="32"/>
        </w:rPr>
        <w:t>直接持有上市公司5%以上股份的法人或其他组织；</w:t>
      </w:r>
    </w:p>
    <w:p w14:paraId="712CB3BF" w14:textId="77777777" w:rsidR="000C29B8" w:rsidRDefault="00000000">
      <w:pPr>
        <w:pStyle w:val="afa"/>
        <w:numPr>
          <w:ilvl w:val="0"/>
          <w:numId w:val="63"/>
        </w:numPr>
        <w:tabs>
          <w:tab w:val="left" w:pos="993"/>
          <w:tab w:val="left" w:pos="1560"/>
        </w:tabs>
        <w:spacing w:line="560" w:lineRule="exact"/>
        <w:ind w:left="0" w:firstLine="640"/>
        <w:rPr>
          <w:rFonts w:ascii="仿宋_GB2312"/>
          <w:sz w:val="32"/>
          <w:szCs w:val="32"/>
        </w:rPr>
      </w:pPr>
      <w:r>
        <w:rPr>
          <w:rFonts w:ascii="仿宋_GB2312" w:hint="eastAsia"/>
          <w:sz w:val="32"/>
          <w:szCs w:val="32"/>
        </w:rPr>
        <w:t>直接或间接控制上市公司的法人或其他组织的董事、监事、高级管理人员或其他主要负责人；</w:t>
      </w:r>
    </w:p>
    <w:p w14:paraId="5AF89A26" w14:textId="77777777" w:rsidR="000C29B8" w:rsidRDefault="00000000">
      <w:pPr>
        <w:pStyle w:val="afa"/>
        <w:numPr>
          <w:ilvl w:val="0"/>
          <w:numId w:val="63"/>
        </w:numPr>
        <w:tabs>
          <w:tab w:val="left" w:pos="993"/>
          <w:tab w:val="left" w:pos="1560"/>
        </w:tabs>
        <w:spacing w:line="560" w:lineRule="exact"/>
        <w:ind w:left="0" w:firstLine="640"/>
        <w:rPr>
          <w:rFonts w:ascii="仿宋_GB2312"/>
          <w:sz w:val="32"/>
          <w:szCs w:val="32"/>
        </w:rPr>
      </w:pPr>
      <w:r>
        <w:rPr>
          <w:rFonts w:ascii="仿宋_GB2312" w:hint="eastAsia"/>
          <w:sz w:val="32"/>
          <w:szCs w:val="32"/>
        </w:rPr>
        <w:t>由本项第1目至第6目所列关联法人或关联自然人直接或者间接控制的，或者由前述关联自然人（独立董事除外）</w:t>
      </w:r>
      <w:r>
        <w:rPr>
          <w:rFonts w:ascii="仿宋_GB2312" w:hint="eastAsia"/>
          <w:sz w:val="32"/>
          <w:szCs w:val="32"/>
        </w:rPr>
        <w:lastRenderedPageBreak/>
        <w:t>担任董事、高级管理人员的法人或其他组织，但上市公司及其控股子公司除外；</w:t>
      </w:r>
    </w:p>
    <w:p w14:paraId="0E3E9613" w14:textId="77777777" w:rsidR="000C29B8" w:rsidRDefault="00000000">
      <w:pPr>
        <w:pStyle w:val="afa"/>
        <w:numPr>
          <w:ilvl w:val="0"/>
          <w:numId w:val="63"/>
        </w:numPr>
        <w:tabs>
          <w:tab w:val="left" w:pos="993"/>
          <w:tab w:val="left" w:pos="1560"/>
        </w:tabs>
        <w:spacing w:line="560" w:lineRule="exact"/>
        <w:ind w:left="0" w:firstLine="640"/>
        <w:rPr>
          <w:rFonts w:ascii="仿宋_GB2312"/>
          <w:sz w:val="32"/>
          <w:szCs w:val="32"/>
        </w:rPr>
      </w:pPr>
      <w:r>
        <w:rPr>
          <w:rFonts w:ascii="仿宋_GB2312" w:hint="eastAsia"/>
          <w:sz w:val="32"/>
          <w:szCs w:val="32"/>
        </w:rPr>
        <w:t>间接持有上市公司5%以上股份的法人或其他组织；</w:t>
      </w:r>
    </w:p>
    <w:p w14:paraId="12100A75" w14:textId="77777777" w:rsidR="000C29B8" w:rsidRDefault="00000000">
      <w:pPr>
        <w:pStyle w:val="afa"/>
        <w:numPr>
          <w:ilvl w:val="0"/>
          <w:numId w:val="63"/>
        </w:numPr>
        <w:tabs>
          <w:tab w:val="left" w:pos="993"/>
          <w:tab w:val="left" w:pos="1560"/>
        </w:tabs>
        <w:spacing w:line="560" w:lineRule="exact"/>
        <w:ind w:left="0" w:firstLine="640"/>
        <w:rPr>
          <w:rFonts w:ascii="仿宋_GB2312"/>
          <w:sz w:val="32"/>
          <w:szCs w:val="32"/>
        </w:rPr>
      </w:pPr>
      <w:r>
        <w:rPr>
          <w:rFonts w:ascii="仿宋_GB2312" w:hint="eastAsia"/>
          <w:sz w:val="32"/>
          <w:szCs w:val="32"/>
        </w:rPr>
        <w:t>中国证监会、本所或者上市公司根据实质重于形式原则认定的其他与上市公司有特殊关系，可能导致上市公司利益对其倾斜的自然人、法人或其他组织。</w:t>
      </w:r>
    </w:p>
    <w:p w14:paraId="0C6DDCC9" w14:textId="77777777" w:rsidR="000C29B8" w:rsidRDefault="00000000">
      <w:pPr>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在交易发生之日前12个月内，或相关交易协议生效或安排实施后12个月内，具有前述所列情形之一的法人、其他组织或自然人，视同上市公司的关联方。</w:t>
      </w:r>
    </w:p>
    <w:p w14:paraId="6DBBB9EC" w14:textId="77777777" w:rsidR="000C29B8" w:rsidRDefault="00000000">
      <w:pPr>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上市公司与本项第1目所列法人或其他组织直接或间接控制的法人或其他组织受同一国有资产监督管理机构控制的，</w:t>
      </w:r>
      <w:proofErr w:type="gramStart"/>
      <w:r>
        <w:rPr>
          <w:rFonts w:ascii="仿宋_GB2312" w:eastAsia="仿宋_GB2312" w:hAnsi="宋体" w:hint="eastAsia"/>
          <w:sz w:val="32"/>
          <w:szCs w:val="32"/>
        </w:rPr>
        <w:t>不</w:t>
      </w:r>
      <w:proofErr w:type="gramEnd"/>
      <w:r>
        <w:rPr>
          <w:rFonts w:ascii="仿宋_GB2312" w:eastAsia="仿宋_GB2312" w:hAnsi="宋体" w:hint="eastAsia"/>
          <w:sz w:val="32"/>
          <w:szCs w:val="32"/>
        </w:rPr>
        <w:t>因此而形成关联关系，但该法人或其他组织的法定代表人、总经理、负责人或者半数以上董事兼任上市公司董事、监事或者高级管理人员的除外。</w:t>
      </w:r>
    </w:p>
    <w:p w14:paraId="55D887B2"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上市公司的关联董事包括下列董事或者具有下列情形之一的董事：</w:t>
      </w:r>
    </w:p>
    <w:p w14:paraId="6EDAA655" w14:textId="77777777" w:rsidR="000C29B8" w:rsidRDefault="00000000">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1.为交易对方；</w:t>
      </w:r>
    </w:p>
    <w:p w14:paraId="552BEF95" w14:textId="77777777" w:rsidR="000C29B8" w:rsidRDefault="00000000">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2.为交易对方的直接或者间接控制人；</w:t>
      </w:r>
    </w:p>
    <w:p w14:paraId="119305C4" w14:textId="77777777" w:rsidR="000C29B8" w:rsidRDefault="00000000">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3.在交易对方任职，或者在能够直接或者间接控制该交易对方的法人或其他组织、该交易对方直接或者间接控制的法人或者其他组织任职；</w:t>
      </w:r>
    </w:p>
    <w:p w14:paraId="5050F37D" w14:textId="77777777" w:rsidR="000C29B8" w:rsidRDefault="00000000">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4.为与本项第1目和第2目所列自然人关系密切的家庭成员（具体范围参见前项第4目的规定）；</w:t>
      </w:r>
    </w:p>
    <w:p w14:paraId="4C99E098" w14:textId="77777777" w:rsidR="000C29B8" w:rsidRDefault="00000000">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5.为与本项第1目和第2目所列法人或者组织的董事、监</w:t>
      </w:r>
      <w:r>
        <w:rPr>
          <w:rFonts w:ascii="仿宋_GB2312" w:eastAsia="仿宋_GB2312" w:hAnsi="宋体" w:hint="eastAsia"/>
          <w:sz w:val="32"/>
          <w:szCs w:val="32"/>
        </w:rPr>
        <w:lastRenderedPageBreak/>
        <w:t>事或高级管理人员关系密切的家庭成员（具体范围参见前项第4目的规定）；</w:t>
      </w:r>
    </w:p>
    <w:p w14:paraId="464A0D6C" w14:textId="77777777" w:rsidR="000C29B8" w:rsidRDefault="00000000">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6.中国证监会、本所或者上市公司基于实质重于形式原则认定的其独立商业判断可能受到影响的董事。</w:t>
      </w:r>
    </w:p>
    <w:p w14:paraId="21F1B8C9"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上市公司的关联股东包括下列股东或者具有下列情形之一的股东：</w:t>
      </w:r>
    </w:p>
    <w:p w14:paraId="514AB49C" w14:textId="77777777" w:rsidR="000C29B8" w:rsidRDefault="00000000">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1.为交易对方；</w:t>
      </w:r>
    </w:p>
    <w:p w14:paraId="39FFAA5A" w14:textId="77777777" w:rsidR="000C29B8" w:rsidRDefault="00000000">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2.为交易对方的直接或者间接控制人；</w:t>
      </w:r>
    </w:p>
    <w:p w14:paraId="203704D5" w14:textId="77777777" w:rsidR="000C29B8" w:rsidRDefault="00000000">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3.被交易对方直接或者间接控制；</w:t>
      </w:r>
    </w:p>
    <w:p w14:paraId="79C11373" w14:textId="77777777" w:rsidR="000C29B8" w:rsidRDefault="00000000">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4.与交易对方受同一自然人、法人或者其他组织直接或者间接控制；</w:t>
      </w:r>
    </w:p>
    <w:p w14:paraId="7F142C31" w14:textId="77777777" w:rsidR="000C29B8" w:rsidRDefault="00000000">
      <w:pPr>
        <w:tabs>
          <w:tab w:val="left" w:pos="1418"/>
        </w:tabs>
        <w:autoSpaceDE w:val="0"/>
        <w:autoSpaceDN w:val="0"/>
        <w:adjustRightInd w:val="0"/>
        <w:snapToGrid w:val="0"/>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5.因与交易对方或者其关联人存在尚未履行完毕的股权转让协议或者其他协议而使其表决权受到限制或影响的股东；</w:t>
      </w:r>
    </w:p>
    <w:p w14:paraId="43F05919" w14:textId="77777777" w:rsidR="000C29B8" w:rsidRDefault="00000000">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6.中国证监会或者本所认定的可能造成上市公司利益对其倾斜的股东。</w:t>
      </w:r>
    </w:p>
    <w:p w14:paraId="7696F350"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股权分布不具备上市条件，指社会公众股东持有的股份连续20个交易日低于公司总股本的25%；公司股本总额超过人民币4亿元的，低于公司总股本的10%。</w:t>
      </w:r>
    </w:p>
    <w:p w14:paraId="18013F19" w14:textId="77777777" w:rsidR="000C29B8" w:rsidRDefault="00000000">
      <w:pPr>
        <w:autoSpaceDE w:val="0"/>
        <w:autoSpaceDN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上述社会公众股东指不包括下列股东的上市公司其他股东：</w:t>
      </w:r>
    </w:p>
    <w:p w14:paraId="02DE5F74" w14:textId="77777777" w:rsidR="000C29B8" w:rsidRDefault="00000000">
      <w:pPr>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1.持有上市公司10%以上股份的股东及其一致行动人；</w:t>
      </w:r>
    </w:p>
    <w:p w14:paraId="28008F8D" w14:textId="77777777" w:rsidR="000C29B8" w:rsidRDefault="00000000">
      <w:pPr>
        <w:autoSpaceDE w:val="0"/>
        <w:autoSpaceDN w:val="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2.上市公司的董事、监事、高级管理人员及其关联人。</w:t>
      </w:r>
    </w:p>
    <w:p w14:paraId="388FE6B9"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证券服务机构，指为证券发行、上市、交易</w:t>
      </w:r>
      <w:r>
        <w:rPr>
          <w:rFonts w:ascii="仿宋_GB2312" w:hAnsi="宋体" w:hint="eastAsia"/>
          <w:sz w:val="32"/>
          <w:szCs w:val="32"/>
        </w:rPr>
        <w:lastRenderedPageBreak/>
        <w:t>等证券业务活动制作、出具审计报告、资产评估报告、法律意见书、财务顾问报告、资信评级报告等文件的会计师事务所、资产评估机构、律师事务所、财务顾问机构、资信评级机构。</w:t>
      </w:r>
    </w:p>
    <w:p w14:paraId="0393112A"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净资产，指归属于母公司所有者的期末净资产，不包括少数股东权益金额。</w:t>
      </w:r>
    </w:p>
    <w:p w14:paraId="3C063673"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净利润，指归属于母公司所有者的净利润，不包括少数股东损益金额。</w:t>
      </w:r>
    </w:p>
    <w:p w14:paraId="5563AA79"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每股收益，指根据中国证监会有关规定计算的基本每股收益。</w:t>
      </w:r>
    </w:p>
    <w:p w14:paraId="6B8FD5D8"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净资产收益率，指根据中国证监会有关规定计算的全面摊薄净资产收益率。</w:t>
      </w:r>
    </w:p>
    <w:p w14:paraId="080BC345"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回购股份，指上市公司收购本公司发行的股份。</w:t>
      </w:r>
    </w:p>
    <w:p w14:paraId="464EF506"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破产程序，指《企业破产法》所规范的重整、和解或破产清算程序。</w:t>
      </w:r>
    </w:p>
    <w:p w14:paraId="5E1AC18B"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破产管理人管理或监督运作模式，指根据《企业破产法》，经法院裁定由破产</w:t>
      </w:r>
      <w:r>
        <w:rPr>
          <w:rFonts w:ascii="仿宋_GB2312" w:hAnsi="宋体"/>
          <w:sz w:val="32"/>
          <w:szCs w:val="32"/>
        </w:rPr>
        <w:t>管理人负责管理</w:t>
      </w:r>
      <w:r>
        <w:rPr>
          <w:rFonts w:ascii="仿宋_GB2312" w:hAnsi="宋体" w:hint="eastAsia"/>
          <w:sz w:val="32"/>
          <w:szCs w:val="32"/>
        </w:rPr>
        <w:t>上市公司</w:t>
      </w:r>
      <w:r>
        <w:rPr>
          <w:rFonts w:ascii="仿宋_GB2312" w:hAnsi="宋体"/>
          <w:sz w:val="32"/>
          <w:szCs w:val="32"/>
        </w:rPr>
        <w:t>财产和营业事务的</w:t>
      </w:r>
      <w:r>
        <w:rPr>
          <w:rFonts w:ascii="仿宋_GB2312" w:hAnsi="宋体" w:hint="eastAsia"/>
          <w:sz w:val="32"/>
          <w:szCs w:val="32"/>
        </w:rPr>
        <w:t>运作模式或者由公司</w:t>
      </w:r>
      <w:r>
        <w:rPr>
          <w:rFonts w:ascii="仿宋_GB2312" w:hAnsi="宋体"/>
          <w:sz w:val="32"/>
          <w:szCs w:val="32"/>
        </w:rPr>
        <w:t>在</w:t>
      </w:r>
      <w:r>
        <w:rPr>
          <w:rFonts w:ascii="仿宋_GB2312" w:hAnsi="宋体" w:hint="eastAsia"/>
          <w:sz w:val="32"/>
          <w:szCs w:val="32"/>
        </w:rPr>
        <w:t>破产</w:t>
      </w:r>
      <w:r>
        <w:rPr>
          <w:rFonts w:ascii="仿宋_GB2312" w:hAnsi="宋体"/>
          <w:sz w:val="32"/>
          <w:szCs w:val="32"/>
        </w:rPr>
        <w:t>管理人的监督下自行管理</w:t>
      </w:r>
      <w:r>
        <w:rPr>
          <w:rFonts w:ascii="仿宋_GB2312" w:hAnsi="宋体" w:hint="eastAsia"/>
          <w:sz w:val="32"/>
          <w:szCs w:val="32"/>
        </w:rPr>
        <w:t>公司</w:t>
      </w:r>
      <w:r>
        <w:rPr>
          <w:rFonts w:ascii="仿宋_GB2312" w:hAnsi="宋体"/>
          <w:sz w:val="32"/>
          <w:szCs w:val="32"/>
        </w:rPr>
        <w:t>财产和营业事务</w:t>
      </w:r>
      <w:r>
        <w:rPr>
          <w:rFonts w:ascii="仿宋_GB2312" w:hAnsi="宋体" w:hint="eastAsia"/>
          <w:sz w:val="32"/>
          <w:szCs w:val="32"/>
        </w:rPr>
        <w:t>的运作模式。</w:t>
      </w:r>
    </w:p>
    <w:p w14:paraId="437FCD95"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追溯重述，指因财务会计报告存在重大会计差错或者虚假记载，公司主动改正或者被中国证监会责令改正后，对此前披露的年度财务会计报告进行的调整。</w:t>
      </w:r>
    </w:p>
    <w:p w14:paraId="18FEB009"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公司股票停牌日，指本所对公司股票全天</w:t>
      </w:r>
      <w:r>
        <w:rPr>
          <w:rFonts w:ascii="仿宋_GB2312" w:hAnsi="宋体" w:hint="eastAsia"/>
          <w:sz w:val="32"/>
          <w:szCs w:val="32"/>
        </w:rPr>
        <w:lastRenderedPageBreak/>
        <w:t>予以停牌的交易日。</w:t>
      </w:r>
    </w:p>
    <w:p w14:paraId="7DB41A1D"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元</w:t>
      </w:r>
      <w:r>
        <w:rPr>
          <w:rFonts w:ascii="仿宋_GB2312" w:hAnsi="宋体"/>
          <w:sz w:val="32"/>
          <w:szCs w:val="32"/>
        </w:rPr>
        <w:t>，如无特指</w:t>
      </w:r>
      <w:r>
        <w:rPr>
          <w:rFonts w:ascii="仿宋_GB2312" w:hAnsi="宋体" w:hint="eastAsia"/>
          <w:sz w:val="32"/>
          <w:szCs w:val="32"/>
        </w:rPr>
        <w:t>或者本所</w:t>
      </w:r>
      <w:r>
        <w:rPr>
          <w:rFonts w:ascii="仿宋_GB2312" w:hAnsi="宋体"/>
          <w:sz w:val="32"/>
          <w:szCs w:val="32"/>
        </w:rPr>
        <w:t>特别</w:t>
      </w:r>
      <w:r>
        <w:rPr>
          <w:rFonts w:ascii="仿宋_GB2312" w:hAnsi="宋体" w:hint="eastAsia"/>
          <w:sz w:val="32"/>
          <w:szCs w:val="32"/>
        </w:rPr>
        <w:t>规定</w:t>
      </w:r>
      <w:r>
        <w:rPr>
          <w:rFonts w:ascii="仿宋_GB2312" w:hAnsi="宋体"/>
          <w:sz w:val="32"/>
          <w:szCs w:val="32"/>
        </w:rPr>
        <w:t>的，均</w:t>
      </w:r>
      <w:r>
        <w:rPr>
          <w:rFonts w:ascii="仿宋_GB2312" w:hAnsi="宋体" w:hint="eastAsia"/>
          <w:sz w:val="32"/>
          <w:szCs w:val="32"/>
        </w:rPr>
        <w:t>指</w:t>
      </w:r>
      <w:r>
        <w:rPr>
          <w:rFonts w:ascii="仿宋_GB2312" w:hAnsi="宋体"/>
          <w:sz w:val="32"/>
          <w:szCs w:val="32"/>
        </w:rPr>
        <w:t>人</w:t>
      </w:r>
      <w:r>
        <w:rPr>
          <w:rFonts w:ascii="仿宋_GB2312" w:hAnsi="宋体" w:hint="eastAsia"/>
          <w:sz w:val="32"/>
          <w:szCs w:val="32"/>
        </w:rPr>
        <w:t>民</w:t>
      </w:r>
      <w:r>
        <w:rPr>
          <w:rFonts w:ascii="仿宋_GB2312" w:hAnsi="宋体"/>
          <w:sz w:val="32"/>
          <w:szCs w:val="32"/>
        </w:rPr>
        <w:t>币元。</w:t>
      </w:r>
    </w:p>
    <w:p w14:paraId="015ACA5E" w14:textId="77777777" w:rsidR="000C29B8" w:rsidRDefault="00000000">
      <w:pPr>
        <w:pStyle w:val="afa"/>
        <w:numPr>
          <w:ilvl w:val="3"/>
          <w:numId w:val="62"/>
        </w:numPr>
        <w:tabs>
          <w:tab w:val="left" w:pos="1560"/>
        </w:tabs>
        <w:snapToGrid w:val="0"/>
        <w:spacing w:line="560" w:lineRule="exact"/>
        <w:ind w:left="0" w:firstLine="640"/>
        <w:rPr>
          <w:rFonts w:ascii="仿宋_GB2312" w:hAnsi="宋体"/>
          <w:sz w:val="32"/>
          <w:szCs w:val="32"/>
        </w:rPr>
      </w:pPr>
      <w:r>
        <w:rPr>
          <w:rFonts w:ascii="仿宋_GB2312" w:hAnsi="宋体" w:hint="eastAsia"/>
          <w:sz w:val="32"/>
          <w:szCs w:val="32"/>
        </w:rPr>
        <w:t>本规则所称以上、以内含本数，超过、少于、低于、以下不含本数。</w:t>
      </w:r>
    </w:p>
    <w:p w14:paraId="13122722" w14:textId="77777777" w:rsidR="000C29B8" w:rsidRDefault="00000000">
      <w:pPr>
        <w:tabs>
          <w:tab w:val="left" w:pos="1560"/>
        </w:tabs>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本规则未定义的用语的含义，依照有关法律法规和本所有关业务规则确定。</w:t>
      </w:r>
    </w:p>
    <w:p w14:paraId="3A73F28F" w14:textId="77777777" w:rsidR="000C29B8" w:rsidRDefault="000C29B8">
      <w:pPr>
        <w:tabs>
          <w:tab w:val="left" w:pos="1560"/>
        </w:tabs>
        <w:snapToGrid w:val="0"/>
        <w:spacing w:line="560" w:lineRule="exact"/>
        <w:ind w:firstLineChars="200" w:firstLine="640"/>
        <w:rPr>
          <w:rFonts w:ascii="仿宋_GB2312" w:eastAsia="仿宋_GB2312" w:hAnsi="宋体"/>
          <w:sz w:val="32"/>
          <w:szCs w:val="32"/>
        </w:rPr>
      </w:pPr>
    </w:p>
    <w:p w14:paraId="0D2D2790" w14:textId="77777777" w:rsidR="000C29B8" w:rsidRDefault="00000000">
      <w:pPr>
        <w:pStyle w:val="5"/>
        <w:ind w:firstLine="643"/>
        <w:rPr>
          <w:b/>
        </w:rPr>
      </w:pPr>
      <w:bookmarkStart w:id="1038" w:name="_Toc7080"/>
      <w:r>
        <w:rPr>
          <w:rFonts w:hint="eastAsia"/>
          <w:b/>
        </w:rPr>
        <w:t>附</w:t>
      </w:r>
      <w:r>
        <w:rPr>
          <w:b/>
        </w:rPr>
        <w:t xml:space="preserve">  </w:t>
      </w:r>
      <w:r>
        <w:rPr>
          <w:rFonts w:hint="eastAsia"/>
          <w:b/>
        </w:rPr>
        <w:t>则</w:t>
      </w:r>
      <w:bookmarkEnd w:id="1038"/>
    </w:p>
    <w:p w14:paraId="185385BF" w14:textId="77777777" w:rsidR="000C29B8" w:rsidRDefault="00000000">
      <w:pPr>
        <w:numPr>
          <w:ilvl w:val="2"/>
          <w:numId w:val="64"/>
        </w:numPr>
        <w:tabs>
          <w:tab w:val="clear" w:pos="1418"/>
          <w:tab w:val="left" w:pos="0"/>
          <w:tab w:val="left" w:pos="1560"/>
        </w:tabs>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存托凭证、可转换公司债</w:t>
      </w:r>
      <w:proofErr w:type="gramStart"/>
      <w:r>
        <w:rPr>
          <w:rFonts w:ascii="仿宋_GB2312" w:eastAsia="仿宋_GB2312" w:hAnsi="宋体" w:hint="eastAsia"/>
          <w:sz w:val="32"/>
          <w:szCs w:val="32"/>
        </w:rPr>
        <w:t>券</w:t>
      </w:r>
      <w:proofErr w:type="gramEnd"/>
      <w:r>
        <w:rPr>
          <w:rFonts w:ascii="仿宋_GB2312" w:eastAsia="仿宋_GB2312" w:hAnsi="宋体" w:hint="eastAsia"/>
          <w:sz w:val="32"/>
          <w:szCs w:val="32"/>
        </w:rPr>
        <w:t>、股票或者存托凭证衍生品的上市和持续监管等事宜参照适用本规则关于股票的有关规定，本</w:t>
      </w:r>
      <w:r>
        <w:rPr>
          <w:rFonts w:ascii="仿宋_GB2312" w:eastAsia="仿宋_GB2312" w:hAnsi="宋体"/>
          <w:sz w:val="32"/>
          <w:szCs w:val="32"/>
        </w:rPr>
        <w:t>规则未作规定的，适用本所其他有关规定</w:t>
      </w:r>
      <w:r>
        <w:rPr>
          <w:rFonts w:ascii="仿宋_GB2312" w:eastAsia="仿宋_GB2312" w:hAnsi="宋体" w:hint="eastAsia"/>
          <w:sz w:val="32"/>
          <w:szCs w:val="32"/>
        </w:rPr>
        <w:t>。</w:t>
      </w:r>
    </w:p>
    <w:p w14:paraId="573EC056" w14:textId="77777777" w:rsidR="000C29B8" w:rsidRDefault="00000000">
      <w:pPr>
        <w:numPr>
          <w:ilvl w:val="2"/>
          <w:numId w:val="64"/>
        </w:numPr>
        <w:tabs>
          <w:tab w:val="clear" w:pos="1418"/>
          <w:tab w:val="left" w:pos="0"/>
          <w:tab w:val="left" w:pos="1560"/>
        </w:tabs>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本</w:t>
      </w:r>
      <w:proofErr w:type="gramStart"/>
      <w:r>
        <w:rPr>
          <w:rFonts w:ascii="仿宋_GB2312" w:eastAsia="仿宋_GB2312" w:hAnsi="宋体" w:hint="eastAsia"/>
          <w:sz w:val="32"/>
          <w:szCs w:val="32"/>
        </w:rPr>
        <w:t>规则经</w:t>
      </w:r>
      <w:proofErr w:type="gramEnd"/>
      <w:r>
        <w:rPr>
          <w:rFonts w:ascii="仿宋_GB2312" w:eastAsia="仿宋_GB2312" w:hAnsi="宋体" w:hint="eastAsia"/>
          <w:sz w:val="32"/>
          <w:szCs w:val="32"/>
        </w:rPr>
        <w:t>本所理事会审议通过并报中国证监会批准后生效，修订时亦同。</w:t>
      </w:r>
    </w:p>
    <w:p w14:paraId="1D6575D1" w14:textId="77777777" w:rsidR="000C29B8" w:rsidRDefault="00000000">
      <w:pPr>
        <w:numPr>
          <w:ilvl w:val="2"/>
          <w:numId w:val="64"/>
        </w:numPr>
        <w:tabs>
          <w:tab w:val="left" w:pos="1560"/>
        </w:tabs>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本规则由本所负责解释。</w:t>
      </w:r>
    </w:p>
    <w:p w14:paraId="58658CD8" w14:textId="77777777" w:rsidR="000C29B8" w:rsidRDefault="00000000">
      <w:pPr>
        <w:numPr>
          <w:ilvl w:val="2"/>
          <w:numId w:val="64"/>
        </w:numPr>
        <w:tabs>
          <w:tab w:val="left" w:pos="1560"/>
        </w:tabs>
        <w:snapToGrid w:val="0"/>
        <w:spacing w:line="560" w:lineRule="exact"/>
        <w:ind w:left="0" w:firstLineChars="200" w:firstLine="640"/>
        <w:rPr>
          <w:rFonts w:ascii="仿宋_GB2312" w:eastAsia="仿宋_GB2312" w:hAnsi="宋体"/>
          <w:sz w:val="32"/>
          <w:szCs w:val="32"/>
        </w:rPr>
      </w:pPr>
      <w:r>
        <w:rPr>
          <w:rFonts w:ascii="仿宋_GB2312" w:eastAsia="仿宋_GB2312" w:hAnsi="宋体" w:hint="eastAsia"/>
          <w:sz w:val="32"/>
          <w:szCs w:val="32"/>
        </w:rPr>
        <w:t>本规则自发布之日起施行。</w:t>
      </w:r>
      <w:r>
        <w:rPr>
          <w:rFonts w:ascii="仿宋_GB2312" w:eastAsia="仿宋_GB2312" w:hAnsi="宋体"/>
          <w:sz w:val="32"/>
          <w:szCs w:val="32"/>
        </w:rPr>
        <w:t>上市公司董事会及其专门委员会的设置、独立董事专门会议机制等事项与本规则不一致的，应当</w:t>
      </w:r>
      <w:r>
        <w:rPr>
          <w:rFonts w:ascii="仿宋_GB2312" w:eastAsia="仿宋_GB2312" w:hAnsi="宋体" w:hint="eastAsia"/>
          <w:sz w:val="32"/>
          <w:szCs w:val="32"/>
        </w:rPr>
        <w:t>于</w:t>
      </w:r>
      <w:r>
        <w:rPr>
          <w:rFonts w:ascii="仿宋_GB2312" w:eastAsia="仿宋_GB2312" w:hAnsi="宋体"/>
          <w:sz w:val="32"/>
          <w:szCs w:val="32"/>
        </w:rPr>
        <w:t>2024年9月4日前逐步调整至符合本规则的规定。</w:t>
      </w:r>
    </w:p>
    <w:p w14:paraId="4AD923F8" w14:textId="77777777" w:rsidR="000C29B8" w:rsidRDefault="000C29B8">
      <w:pPr>
        <w:ind w:firstLine="420"/>
      </w:pPr>
    </w:p>
    <w:sectPr w:rsidR="000C29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4B7451" w14:textId="77777777" w:rsidR="00623438" w:rsidRDefault="00623438">
      <w:r>
        <w:separator/>
      </w:r>
    </w:p>
  </w:endnote>
  <w:endnote w:type="continuationSeparator" w:id="0">
    <w:p w14:paraId="5174C781" w14:textId="77777777" w:rsidR="00623438" w:rsidRDefault="00623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Unicode MS">
    <w:altName w:val="Malgun Gothic Semilight"/>
    <w:panose1 w:val="020B0604020202020204"/>
    <w:charset w:val="86"/>
    <w:family w:val="swiss"/>
    <w:pitch w:val="default"/>
    <w:sig w:usb0="00000000" w:usb1="00000000" w:usb2="0000003F" w:usb3="00000000" w:csb0="003F01FF"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Microsoft YaHei UI">
    <w:altName w:val="Droid Sans Fallback"/>
    <w:panose1 w:val="020B0503020204020204"/>
    <w:charset w:val="86"/>
    <w:family w:val="swiss"/>
    <w:pitch w:val="variable"/>
    <w:sig w:usb0="80000287" w:usb1="2ACF3C50" w:usb2="00000016" w:usb3="00000000" w:csb0="0004001F" w:csb1="00000000"/>
  </w:font>
  <w:font w:name="Times">
    <w:altName w:val="Times New Roman"/>
    <w:panose1 w:val="02020603050405020304"/>
    <w:charset w:val="00"/>
    <w:family w:val="roman"/>
    <w:pitch w:val="variable"/>
    <w:sig w:usb0="E0002EFF" w:usb1="C000785B" w:usb2="00000009" w:usb3="00000000" w:csb0="000001FF" w:csb1="00000000"/>
  </w:font>
  <w:font w:name="Cambria">
    <w:altName w:val="Noto Sans Syriac Eastern"/>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仿宋">
    <w:altName w:val="宋体"/>
    <w:panose1 w:val="02010609060101010101"/>
    <w:charset w:val="86"/>
    <w:family w:val="modern"/>
    <w:pitch w:val="fixed"/>
    <w:sig w:usb0="800002BF" w:usb1="38CF7CFA" w:usb2="00000016" w:usb3="00000000" w:csb0="00040001" w:csb1="00000000"/>
  </w:font>
  <w:font w:name="TimesNewRomanPSMT">
    <w:altName w:val="Times New Roman"/>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74686" w14:textId="77777777" w:rsidR="000C29B8" w:rsidRDefault="00000000">
    <w:pPr>
      <w:pStyle w:val="ad"/>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rPr>
      <w:t>4</w:t>
    </w:r>
    <w:r>
      <w:rPr>
        <w:rStyle w:val="af7"/>
      </w:rPr>
      <w:fldChar w:fldCharType="end"/>
    </w:r>
  </w:p>
  <w:p w14:paraId="45E95314" w14:textId="77777777" w:rsidR="000C29B8" w:rsidRDefault="000C29B8">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F4413" w14:textId="77777777" w:rsidR="000C29B8" w:rsidRDefault="00000000">
    <w:pPr>
      <w:pStyle w:val="ad"/>
      <w:framePr w:wrap="around" w:vAnchor="text" w:hAnchor="margin" w:xAlign="center" w:y="1"/>
      <w:rPr>
        <w:rStyle w:val="af7"/>
        <w:rFonts w:ascii="Times New Roman" w:eastAsia="仿宋_GB2312" w:hAnsi="Times New Roman"/>
        <w:sz w:val="24"/>
        <w:szCs w:val="24"/>
      </w:rPr>
    </w:pPr>
    <w:r>
      <w:rPr>
        <w:rStyle w:val="af7"/>
        <w:rFonts w:ascii="Times New Roman" w:eastAsia="仿宋_GB2312" w:hAnsi="Times New Roman"/>
        <w:sz w:val="24"/>
        <w:szCs w:val="24"/>
      </w:rPr>
      <w:fldChar w:fldCharType="begin"/>
    </w:r>
    <w:r>
      <w:rPr>
        <w:rStyle w:val="af7"/>
        <w:rFonts w:ascii="Times New Roman" w:eastAsia="仿宋_GB2312" w:hAnsi="Times New Roman"/>
        <w:sz w:val="24"/>
        <w:szCs w:val="24"/>
      </w:rPr>
      <w:instrText xml:space="preserve">PAGE  </w:instrText>
    </w:r>
    <w:r>
      <w:rPr>
        <w:rStyle w:val="af7"/>
        <w:rFonts w:ascii="Times New Roman" w:eastAsia="仿宋_GB2312" w:hAnsi="Times New Roman"/>
        <w:sz w:val="24"/>
        <w:szCs w:val="24"/>
      </w:rPr>
      <w:fldChar w:fldCharType="separate"/>
    </w:r>
    <w:r>
      <w:rPr>
        <w:rStyle w:val="af7"/>
        <w:rFonts w:ascii="Times New Roman" w:eastAsia="仿宋_GB2312" w:hAnsi="Times New Roman"/>
        <w:sz w:val="24"/>
        <w:szCs w:val="24"/>
      </w:rPr>
      <w:t>121</w:t>
    </w:r>
    <w:r>
      <w:rPr>
        <w:rStyle w:val="af7"/>
        <w:rFonts w:ascii="Times New Roman" w:eastAsia="仿宋_GB2312" w:hAnsi="Times New Roman"/>
        <w:sz w:val="24"/>
        <w:szCs w:val="24"/>
      </w:rPr>
      <w:fldChar w:fldCharType="end"/>
    </w:r>
  </w:p>
  <w:p w14:paraId="621378A6" w14:textId="77777777" w:rsidR="000C29B8" w:rsidRDefault="000C29B8">
    <w:pPr>
      <w:pStyle w:val="ad"/>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C7B096" w14:textId="77777777" w:rsidR="00623438" w:rsidRDefault="00623438">
      <w:r>
        <w:separator/>
      </w:r>
    </w:p>
  </w:footnote>
  <w:footnote w:type="continuationSeparator" w:id="0">
    <w:p w14:paraId="1C4EEE86" w14:textId="77777777" w:rsidR="00623438" w:rsidRDefault="006234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DA654B4"/>
    <w:multiLevelType w:val="multilevel"/>
    <w:tmpl w:val="EDA654B4"/>
    <w:lvl w:ilvl="0">
      <w:start w:val="1"/>
      <w:numFmt w:val="decimal"/>
      <w:lvlText w:val="12.10.%1"/>
      <w:lvlJc w:val="left"/>
      <w:pPr>
        <w:ind w:left="640" w:hanging="420"/>
      </w:pPr>
      <w:rPr>
        <w:rFonts w:ascii="仿宋_GB2312" w:eastAsia="仿宋_GB2312" w:cs="仿宋_GB2312" w:hint="eastAsia"/>
        <w:sz w:val="32"/>
      </w:rPr>
    </w:lvl>
    <w:lvl w:ilvl="1">
      <w:start w:val="1"/>
      <w:numFmt w:val="lowerLetter"/>
      <w:lvlText w:val="%2)"/>
      <w:lvlJc w:val="left"/>
      <w:pPr>
        <w:ind w:left="1060" w:hanging="420"/>
      </w:pPr>
      <w:rPr>
        <w:rFonts w:hint="eastAsia"/>
      </w:rPr>
    </w:lvl>
    <w:lvl w:ilvl="2">
      <w:start w:val="1"/>
      <w:numFmt w:val="lowerRoman"/>
      <w:lvlText w:val="%3."/>
      <w:lvlJc w:val="right"/>
      <w:pPr>
        <w:ind w:left="1480" w:hanging="420"/>
      </w:pPr>
      <w:rPr>
        <w:rFonts w:hint="eastAsia"/>
      </w:rPr>
    </w:lvl>
    <w:lvl w:ilvl="3">
      <w:start w:val="1"/>
      <w:numFmt w:val="decimal"/>
      <w:lvlText w:val="%4."/>
      <w:lvlJc w:val="left"/>
      <w:pPr>
        <w:ind w:left="1900" w:hanging="420"/>
      </w:pPr>
      <w:rPr>
        <w:rFonts w:hint="eastAsia"/>
      </w:rPr>
    </w:lvl>
    <w:lvl w:ilvl="4">
      <w:start w:val="1"/>
      <w:numFmt w:val="lowerLetter"/>
      <w:lvlText w:val="%5)"/>
      <w:lvlJc w:val="left"/>
      <w:pPr>
        <w:ind w:left="2320" w:hanging="420"/>
      </w:pPr>
      <w:rPr>
        <w:rFonts w:hint="eastAsia"/>
      </w:rPr>
    </w:lvl>
    <w:lvl w:ilvl="5">
      <w:start w:val="1"/>
      <w:numFmt w:val="lowerRoman"/>
      <w:lvlText w:val="%6."/>
      <w:lvlJc w:val="right"/>
      <w:pPr>
        <w:ind w:left="2740" w:hanging="420"/>
      </w:pPr>
      <w:rPr>
        <w:rFonts w:hint="eastAsia"/>
      </w:rPr>
    </w:lvl>
    <w:lvl w:ilvl="6">
      <w:start w:val="1"/>
      <w:numFmt w:val="decimal"/>
      <w:lvlText w:val="%7."/>
      <w:lvlJc w:val="left"/>
      <w:pPr>
        <w:ind w:left="3160" w:hanging="420"/>
      </w:pPr>
      <w:rPr>
        <w:rFonts w:hint="eastAsia"/>
      </w:rPr>
    </w:lvl>
    <w:lvl w:ilvl="7">
      <w:start w:val="1"/>
      <w:numFmt w:val="lowerLetter"/>
      <w:lvlText w:val="%8)"/>
      <w:lvlJc w:val="left"/>
      <w:pPr>
        <w:ind w:left="3580" w:hanging="420"/>
      </w:pPr>
      <w:rPr>
        <w:rFonts w:hint="eastAsia"/>
      </w:rPr>
    </w:lvl>
    <w:lvl w:ilvl="8">
      <w:start w:val="1"/>
      <w:numFmt w:val="lowerRoman"/>
      <w:lvlText w:val="%9."/>
      <w:lvlJc w:val="right"/>
      <w:pPr>
        <w:ind w:left="4000" w:hanging="420"/>
      </w:pPr>
      <w:rPr>
        <w:rFonts w:hint="eastAsia"/>
      </w:rPr>
    </w:lvl>
  </w:abstractNum>
  <w:abstractNum w:abstractNumId="1" w15:restartNumberingAfterBreak="0">
    <w:nsid w:val="00B4319F"/>
    <w:multiLevelType w:val="multilevel"/>
    <w:tmpl w:val="00B4319F"/>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1.%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 w15:restartNumberingAfterBreak="0">
    <w:nsid w:val="0171ED09"/>
    <w:multiLevelType w:val="singleLevel"/>
    <w:tmpl w:val="0171ED09"/>
    <w:lvl w:ilvl="0">
      <w:start w:val="9"/>
      <w:numFmt w:val="chineseCounting"/>
      <w:suff w:val="space"/>
      <w:lvlText w:val="第%1节"/>
      <w:lvlJc w:val="left"/>
      <w:rPr>
        <w:rFonts w:hint="eastAsia"/>
      </w:rPr>
    </w:lvl>
  </w:abstractNum>
  <w:abstractNum w:abstractNumId="3" w15:restartNumberingAfterBreak="0">
    <w:nsid w:val="01D5083E"/>
    <w:multiLevelType w:val="multilevel"/>
    <w:tmpl w:val="01D5083E"/>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9.3.%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15:restartNumberingAfterBreak="0">
    <w:nsid w:val="03365CA5"/>
    <w:multiLevelType w:val="multilevel"/>
    <w:tmpl w:val="03365CA5"/>
    <w:lvl w:ilvl="0">
      <w:start w:val="2"/>
      <w:numFmt w:val="decimal"/>
      <w:lvlText w:val="%1"/>
      <w:lvlJc w:val="left"/>
      <w:pPr>
        <w:tabs>
          <w:tab w:val="left" w:pos="425"/>
        </w:tabs>
        <w:ind w:left="425" w:hanging="425"/>
      </w:pPr>
      <w:rPr>
        <w:rFonts w:hint="eastAsia"/>
      </w:rPr>
    </w:lvl>
    <w:lvl w:ilvl="1">
      <w:start w:val="1"/>
      <w:numFmt w:val="decimal"/>
      <w:lvlText w:val="5.2.%2"/>
      <w:lvlJc w:val="left"/>
      <w:pPr>
        <w:tabs>
          <w:tab w:val="left" w:pos="992"/>
        </w:tabs>
        <w:ind w:left="992" w:hanging="567"/>
      </w:pPr>
      <w:rPr>
        <w:rFonts w:ascii="仿宋_GB2312" w:eastAsia="仿宋_GB2312" w:hint="eastAsia"/>
        <w:b w:val="0"/>
        <w:i w:val="0"/>
        <w:color w:val="auto"/>
        <w:sz w:val="32"/>
        <w:szCs w:val="32"/>
      </w:rPr>
    </w:lvl>
    <w:lvl w:ilvl="2">
      <w:start w:val="1"/>
      <w:numFmt w:val="decimal"/>
      <w:lvlText w:val="%1.%2.%3"/>
      <w:lvlJc w:val="left"/>
      <w:pPr>
        <w:tabs>
          <w:tab w:val="left" w:pos="1571"/>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5" w15:restartNumberingAfterBreak="0">
    <w:nsid w:val="04FD1334"/>
    <w:multiLevelType w:val="multilevel"/>
    <w:tmpl w:val="04FD1334"/>
    <w:lvl w:ilvl="0">
      <w:start w:val="1"/>
      <w:numFmt w:val="japaneseCounting"/>
      <w:lvlText w:val="（%1）"/>
      <w:lvlJc w:val="left"/>
      <w:pPr>
        <w:ind w:left="1680" w:hanging="1080"/>
      </w:pPr>
      <w:rPr>
        <w:rFonts w:hint="default"/>
        <w:lang w:val="en-US"/>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6" w15:restartNumberingAfterBreak="0">
    <w:nsid w:val="057E59E7"/>
    <w:multiLevelType w:val="multilevel"/>
    <w:tmpl w:val="057E59E7"/>
    <w:lvl w:ilvl="0">
      <w:start w:val="1"/>
      <w:numFmt w:val="chineseCountingThousand"/>
      <w:pStyle w:val="1"/>
      <w:lvlText w:val="第%1章"/>
      <w:lvlJc w:val="center"/>
      <w:pPr>
        <w:tabs>
          <w:tab w:val="left" w:pos="142"/>
        </w:tabs>
        <w:ind w:left="142" w:firstLine="0"/>
      </w:pPr>
      <w:rPr>
        <w:rFonts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1">
      <w:start w:val="1"/>
      <w:numFmt w:val="chineseCountingThousand"/>
      <w:pStyle w:val="2"/>
      <w:lvlText w:val="第%2节"/>
      <w:lvlJc w:val="center"/>
      <w:pPr>
        <w:tabs>
          <w:tab w:val="left" w:pos="5671"/>
        </w:tabs>
        <w:ind w:left="5671" w:firstLine="0"/>
      </w:pPr>
      <w:rPr>
        <w:rFonts w:ascii="Times New Roman" w:hAnsi="Times New Roman" w:cs="Times New Roman"/>
        <w:b/>
        <w:bCs w:val="0"/>
        <w:i w:val="0"/>
        <w:iCs w:val="0"/>
        <w:caps w:val="0"/>
        <w:smallCaps w:val="0"/>
        <w:strike w:val="0"/>
        <w:dstrike w:val="0"/>
        <w:vanish w:val="0"/>
        <w:spacing w:val="0"/>
        <w:position w:val="0"/>
        <w:u w:val="none"/>
        <w:vertAlign w:val="baseline"/>
      </w:rPr>
    </w:lvl>
    <w:lvl w:ilvl="2">
      <w:start w:val="1"/>
      <w:numFmt w:val="lowerRoman"/>
      <w:lvlText w:val="%3."/>
      <w:lvlJc w:val="right"/>
      <w:pPr>
        <w:tabs>
          <w:tab w:val="left" w:pos="1260"/>
        </w:tabs>
        <w:ind w:left="1260" w:hanging="420"/>
      </w:pPr>
    </w:lvl>
    <w:lvl w:ilvl="3">
      <w:start w:val="1"/>
      <w:numFmt w:val="japaneseCounting"/>
      <w:lvlText w:val="（%4）"/>
      <w:lvlJc w:val="left"/>
      <w:pPr>
        <w:tabs>
          <w:tab w:val="left" w:pos="1980"/>
        </w:tabs>
        <w:ind w:left="1980" w:hanging="720"/>
      </w:pPr>
      <w:rPr>
        <w:rFonts w:hint="eastAsia"/>
        <w:lang w:val="en-US"/>
      </w:rPr>
    </w:lvl>
    <w:lvl w:ilvl="4">
      <w:start w:val="3"/>
      <w:numFmt w:val="japaneseCounting"/>
      <w:lvlText w:val="第%5节"/>
      <w:lvlJc w:val="left"/>
      <w:pPr>
        <w:ind w:left="2760" w:hanging="1080"/>
      </w:pPr>
      <w:rPr>
        <w:rFonts w:hint="default"/>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06EB1F40"/>
    <w:multiLevelType w:val="multilevel"/>
    <w:tmpl w:val="06EB1F40"/>
    <w:lvl w:ilvl="0">
      <w:start w:val="1"/>
      <w:numFmt w:val="chineseCountingThousand"/>
      <w:lvlText w:val="（%1）"/>
      <w:lvlJc w:val="left"/>
      <w:pPr>
        <w:ind w:left="2320" w:hanging="420"/>
      </w:pPr>
      <w:rPr>
        <w:rFonts w:hint="eastAsia"/>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8" w15:restartNumberingAfterBreak="0">
    <w:nsid w:val="083D3A70"/>
    <w:multiLevelType w:val="multilevel"/>
    <w:tmpl w:val="083D3A70"/>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2.2.%3"/>
      <w:lvlJc w:val="left"/>
      <w:pPr>
        <w:tabs>
          <w:tab w:val="left" w:pos="1844"/>
        </w:tabs>
        <w:ind w:left="1844" w:hanging="567"/>
      </w:pPr>
      <w:rPr>
        <w:rFonts w:hint="eastAsia"/>
        <w:i w:val="0"/>
        <w:sz w:val="32"/>
        <w:szCs w:val="32"/>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9" w15:restartNumberingAfterBreak="0">
    <w:nsid w:val="0ACE355A"/>
    <w:multiLevelType w:val="multilevel"/>
    <w:tmpl w:val="0ACE355A"/>
    <w:lvl w:ilvl="0">
      <w:start w:val="1"/>
      <w:numFmt w:val="decimal"/>
      <w:lvlText w:val="6.1.%1"/>
      <w:lvlJc w:val="left"/>
      <w:pPr>
        <w:ind w:left="1555" w:hanging="420"/>
      </w:pPr>
      <w:rPr>
        <w:rFonts w:hint="eastAsia"/>
        <w:sz w:val="32"/>
        <w:szCs w:val="32"/>
      </w:rPr>
    </w:lvl>
    <w:lvl w:ilvl="1">
      <w:start w:val="1"/>
      <w:numFmt w:val="lowerLetter"/>
      <w:lvlText w:val="%2)"/>
      <w:lvlJc w:val="left"/>
      <w:pPr>
        <w:ind w:left="1975" w:hanging="420"/>
      </w:pPr>
    </w:lvl>
    <w:lvl w:ilvl="2">
      <w:start w:val="1"/>
      <w:numFmt w:val="lowerRoman"/>
      <w:lvlText w:val="%3."/>
      <w:lvlJc w:val="right"/>
      <w:pPr>
        <w:ind w:left="2395" w:hanging="420"/>
      </w:pPr>
    </w:lvl>
    <w:lvl w:ilvl="3">
      <w:start w:val="1"/>
      <w:numFmt w:val="decimal"/>
      <w:lvlText w:val="%4."/>
      <w:lvlJc w:val="left"/>
      <w:pPr>
        <w:ind w:left="2815" w:hanging="420"/>
      </w:pPr>
    </w:lvl>
    <w:lvl w:ilvl="4">
      <w:start w:val="1"/>
      <w:numFmt w:val="lowerLetter"/>
      <w:lvlText w:val="%5)"/>
      <w:lvlJc w:val="left"/>
      <w:pPr>
        <w:ind w:left="3235" w:hanging="420"/>
      </w:pPr>
    </w:lvl>
    <w:lvl w:ilvl="5">
      <w:start w:val="1"/>
      <w:numFmt w:val="lowerRoman"/>
      <w:lvlText w:val="%6."/>
      <w:lvlJc w:val="right"/>
      <w:pPr>
        <w:ind w:left="3655" w:hanging="420"/>
      </w:pPr>
    </w:lvl>
    <w:lvl w:ilvl="6">
      <w:start w:val="1"/>
      <w:numFmt w:val="decimal"/>
      <w:lvlText w:val="%7."/>
      <w:lvlJc w:val="left"/>
      <w:pPr>
        <w:ind w:left="4075" w:hanging="420"/>
      </w:pPr>
    </w:lvl>
    <w:lvl w:ilvl="7">
      <w:start w:val="1"/>
      <w:numFmt w:val="lowerLetter"/>
      <w:lvlText w:val="%8)"/>
      <w:lvlJc w:val="left"/>
      <w:pPr>
        <w:ind w:left="4495" w:hanging="420"/>
      </w:pPr>
    </w:lvl>
    <w:lvl w:ilvl="8">
      <w:start w:val="1"/>
      <w:numFmt w:val="lowerRoman"/>
      <w:lvlText w:val="%9."/>
      <w:lvlJc w:val="right"/>
      <w:pPr>
        <w:ind w:left="4915" w:hanging="420"/>
      </w:pPr>
    </w:lvl>
  </w:abstractNum>
  <w:abstractNum w:abstractNumId="10" w15:restartNumberingAfterBreak="0">
    <w:nsid w:val="0AF22042"/>
    <w:multiLevelType w:val="multilevel"/>
    <w:tmpl w:val="0AF22042"/>
    <w:lvl w:ilvl="0">
      <w:start w:val="1"/>
      <w:numFmt w:val="decimal"/>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lvlText w:val="9.2.%3"/>
      <w:lvlJc w:val="left"/>
      <w:pPr>
        <w:tabs>
          <w:tab w:val="left" w:pos="709"/>
        </w:tabs>
        <w:ind w:left="709" w:hanging="709"/>
      </w:pPr>
      <w:rPr>
        <w:rFonts w:hint="eastAsia"/>
        <w:b w:val="0"/>
        <w:i w:val="0"/>
        <w:sz w:val="32"/>
        <w:szCs w:val="32"/>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1" w15:restartNumberingAfterBreak="0">
    <w:nsid w:val="0B212E02"/>
    <w:multiLevelType w:val="multilevel"/>
    <w:tmpl w:val="0B212E02"/>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4.5.%3"/>
      <w:lvlJc w:val="left"/>
      <w:pPr>
        <w:tabs>
          <w:tab w:val="left" w:pos="1418"/>
        </w:tabs>
        <w:ind w:left="1418" w:hanging="567"/>
      </w:pPr>
      <w:rPr>
        <w:rFonts w:ascii="仿宋_GB2312" w:eastAsia="仿宋_GB2312"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2" w15:restartNumberingAfterBreak="0">
    <w:nsid w:val="0B322206"/>
    <w:multiLevelType w:val="multilevel"/>
    <w:tmpl w:val="0B322206"/>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2.3.%3"/>
      <w:lvlJc w:val="left"/>
      <w:pPr>
        <w:tabs>
          <w:tab w:val="left" w:pos="1418"/>
        </w:tabs>
        <w:ind w:left="1418" w:hanging="567"/>
      </w:pPr>
      <w:rPr>
        <w:rFonts w:hint="eastAsia"/>
        <w:color w:val="000000"/>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3" w15:restartNumberingAfterBreak="0">
    <w:nsid w:val="0C4553E6"/>
    <w:multiLevelType w:val="multilevel"/>
    <w:tmpl w:val="0C4553E6"/>
    <w:lvl w:ilvl="0">
      <w:start w:val="1"/>
      <w:numFmt w:val="chineseCountingThousand"/>
      <w:lvlText w:val="（%1）"/>
      <w:lvlJc w:val="left"/>
      <w:pPr>
        <w:ind w:left="2320" w:hanging="420"/>
      </w:pPr>
      <w:rPr>
        <w:rFonts w:hint="eastAsia"/>
        <w:lang w:val="en-US"/>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4" w15:restartNumberingAfterBreak="0">
    <w:nsid w:val="0FF601E7"/>
    <w:multiLevelType w:val="multilevel"/>
    <w:tmpl w:val="0FF601E7"/>
    <w:lvl w:ilvl="0">
      <w:start w:val="1"/>
      <w:numFmt w:val="japaneseCount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12113D12"/>
    <w:multiLevelType w:val="multilevel"/>
    <w:tmpl w:val="12113D12"/>
    <w:lvl w:ilvl="0">
      <w:start w:val="1"/>
      <w:numFmt w:val="decimal"/>
      <w:lvlText w:val="12.7.%1"/>
      <w:lvlJc w:val="left"/>
      <w:pPr>
        <w:ind w:left="562"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134A2A79"/>
    <w:multiLevelType w:val="multilevel"/>
    <w:tmpl w:val="134A2A79"/>
    <w:lvl w:ilvl="0">
      <w:start w:val="1"/>
      <w:numFmt w:val="decimal"/>
      <w:lvlText w:val="%1"/>
      <w:lvlJc w:val="left"/>
      <w:pPr>
        <w:tabs>
          <w:tab w:val="left" w:pos="432"/>
        </w:tabs>
        <w:ind w:left="432" w:hanging="432"/>
      </w:pPr>
      <w:rPr>
        <w:rFonts w:hint="eastAsia"/>
      </w:rPr>
    </w:lvl>
    <w:lvl w:ilvl="1">
      <w:start w:val="1"/>
      <w:numFmt w:val="decimal"/>
      <w:lvlText w:val="%1.%2"/>
      <w:lvlJc w:val="left"/>
      <w:pPr>
        <w:tabs>
          <w:tab w:val="left" w:pos="576"/>
        </w:tabs>
        <w:ind w:left="576" w:hanging="576"/>
      </w:pPr>
      <w:rPr>
        <w:rFonts w:hint="eastAsia"/>
      </w:rPr>
    </w:lvl>
    <w:lvl w:ilvl="2">
      <w:start w:val="1"/>
      <w:numFmt w:val="decimal"/>
      <w:lvlText w:val="2.4.%3"/>
      <w:lvlJc w:val="left"/>
      <w:pPr>
        <w:tabs>
          <w:tab w:val="left" w:pos="1713"/>
        </w:tabs>
        <w:ind w:left="1713" w:hanging="720"/>
      </w:pPr>
      <w:rPr>
        <w:rFonts w:ascii="仿宋_GB2312" w:eastAsia="仿宋_GB2312" w:hint="eastAsia"/>
        <w:b w:val="0"/>
        <w:i w:val="0"/>
        <w:sz w:val="32"/>
        <w:szCs w:val="32"/>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7" w15:restartNumberingAfterBreak="0">
    <w:nsid w:val="177C206F"/>
    <w:multiLevelType w:val="multilevel"/>
    <w:tmpl w:val="177C206F"/>
    <w:lvl w:ilvl="0">
      <w:start w:val="1"/>
      <w:numFmt w:val="decimal"/>
      <w:lvlText w:val="7.2.%1"/>
      <w:lvlJc w:val="left"/>
      <w:pPr>
        <w:ind w:left="420" w:hanging="420"/>
      </w:pPr>
      <w:rPr>
        <w:rFonts w:ascii="仿宋_GB2312" w:eastAsia="仿宋_GB2312"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1A950547"/>
    <w:multiLevelType w:val="multilevel"/>
    <w:tmpl w:val="1A950547"/>
    <w:lvl w:ilvl="0">
      <w:start w:val="1"/>
      <w:numFmt w:val="decimal"/>
      <w:lvlText w:val="%1"/>
      <w:lvlJc w:val="left"/>
      <w:pPr>
        <w:tabs>
          <w:tab w:val="left" w:pos="432"/>
        </w:tabs>
        <w:ind w:left="432" w:hanging="432"/>
      </w:pPr>
      <w:rPr>
        <w:rFonts w:hint="eastAsia"/>
      </w:rPr>
    </w:lvl>
    <w:lvl w:ilvl="1">
      <w:start w:val="1"/>
      <w:numFmt w:val="decimal"/>
      <w:lvlText w:val="%1.%2"/>
      <w:lvlJc w:val="left"/>
      <w:pPr>
        <w:tabs>
          <w:tab w:val="left" w:pos="576"/>
        </w:tabs>
        <w:ind w:left="576" w:hanging="576"/>
      </w:pPr>
      <w:rPr>
        <w:rFonts w:hint="eastAsia"/>
      </w:rPr>
    </w:lvl>
    <w:lvl w:ilvl="2">
      <w:start w:val="1"/>
      <w:numFmt w:val="decimal"/>
      <w:lvlText w:val="2.3.%3"/>
      <w:lvlJc w:val="left"/>
      <w:pPr>
        <w:tabs>
          <w:tab w:val="left" w:pos="720"/>
        </w:tabs>
        <w:ind w:left="720" w:hanging="720"/>
      </w:pPr>
      <w:rPr>
        <w:rFonts w:hint="eastAsia"/>
        <w:b w:val="0"/>
        <w:i w:val="0"/>
        <w:sz w:val="32"/>
        <w:szCs w:val="32"/>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9" w15:restartNumberingAfterBreak="0">
    <w:nsid w:val="1AF5541C"/>
    <w:multiLevelType w:val="multilevel"/>
    <w:tmpl w:val="1AF5541C"/>
    <w:lvl w:ilvl="0">
      <w:start w:val="2"/>
      <w:numFmt w:val="decimal"/>
      <w:lvlText w:val="%1"/>
      <w:lvlJc w:val="left"/>
      <w:pPr>
        <w:tabs>
          <w:tab w:val="left" w:pos="425"/>
        </w:tabs>
        <w:ind w:left="425" w:hanging="425"/>
      </w:pPr>
      <w:rPr>
        <w:rFonts w:hint="eastAsia"/>
      </w:rPr>
    </w:lvl>
    <w:lvl w:ilvl="1">
      <w:start w:val="1"/>
      <w:numFmt w:val="decimal"/>
      <w:lvlText w:val="5.3.%2"/>
      <w:lvlJc w:val="left"/>
      <w:pPr>
        <w:tabs>
          <w:tab w:val="left" w:pos="992"/>
        </w:tabs>
        <w:ind w:left="992" w:hanging="567"/>
      </w:pPr>
      <w:rPr>
        <w:rFonts w:hint="eastAsia"/>
        <w:b w:val="0"/>
        <w:i w:val="0"/>
        <w:color w:val="auto"/>
        <w:sz w:val="32"/>
        <w:szCs w:val="32"/>
      </w:rPr>
    </w:lvl>
    <w:lvl w:ilvl="2">
      <w:start w:val="1"/>
      <w:numFmt w:val="decimal"/>
      <w:lvlText w:val="%1.%2.%3"/>
      <w:lvlJc w:val="left"/>
      <w:pPr>
        <w:tabs>
          <w:tab w:val="left" w:pos="1571"/>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0" w15:restartNumberingAfterBreak="0">
    <w:nsid w:val="1C761417"/>
    <w:multiLevelType w:val="multilevel"/>
    <w:tmpl w:val="1C761417"/>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2.6.%3"/>
      <w:lvlJc w:val="left"/>
      <w:pPr>
        <w:tabs>
          <w:tab w:val="left" w:pos="1418"/>
        </w:tabs>
        <w:ind w:left="1418" w:hanging="567"/>
      </w:pPr>
      <w:rPr>
        <w:rFonts w:ascii="仿宋_GB2312" w:eastAsia="仿宋_GB2312" w:hint="eastAsia"/>
        <w:sz w:val="32"/>
        <w:szCs w:val="32"/>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1" w15:restartNumberingAfterBreak="0">
    <w:nsid w:val="1FCE523A"/>
    <w:multiLevelType w:val="multilevel"/>
    <w:tmpl w:val="1FCE523A"/>
    <w:lvl w:ilvl="0">
      <w:start w:val="1"/>
      <w:numFmt w:val="decimal"/>
      <w:lvlText w:val="%1"/>
      <w:lvlJc w:val="left"/>
      <w:pPr>
        <w:tabs>
          <w:tab w:val="left" w:pos="425"/>
        </w:tabs>
        <w:ind w:left="425" w:hanging="425"/>
      </w:pPr>
      <w:rPr>
        <w:rFonts w:hint="eastAsia"/>
      </w:rPr>
    </w:lvl>
    <w:lvl w:ilvl="1">
      <w:start w:val="1"/>
      <w:numFmt w:val="none"/>
      <w:lvlText w:val="6.1"/>
      <w:lvlJc w:val="left"/>
      <w:pPr>
        <w:tabs>
          <w:tab w:val="left" w:pos="992"/>
        </w:tabs>
        <w:ind w:left="992" w:hanging="567"/>
      </w:pPr>
      <w:rPr>
        <w:rFonts w:ascii="Times New Roman" w:hAnsi="Times New Roman" w:hint="default"/>
        <w:b w:val="0"/>
        <w:i w:val="0"/>
        <w:sz w:val="24"/>
      </w:rPr>
    </w:lvl>
    <w:lvl w:ilvl="2">
      <w:start w:val="1"/>
      <w:numFmt w:val="decimal"/>
      <w:lvlText w:val="7.1.%3"/>
      <w:lvlJc w:val="left"/>
      <w:pPr>
        <w:tabs>
          <w:tab w:val="left" w:pos="1107"/>
        </w:tabs>
        <w:ind w:left="1107" w:hanging="567"/>
      </w:pPr>
      <w:rPr>
        <w:rFonts w:ascii="仿宋_GB2312" w:eastAsia="仿宋_GB2312" w:hint="eastAsia"/>
        <w:b w:val="0"/>
        <w:i w:val="0"/>
        <w:sz w:val="32"/>
        <w:szCs w:val="32"/>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2" w15:restartNumberingAfterBreak="0">
    <w:nsid w:val="202C7AB5"/>
    <w:multiLevelType w:val="multilevel"/>
    <w:tmpl w:val="202C7AB5"/>
    <w:lvl w:ilvl="0">
      <w:start w:val="1"/>
      <w:numFmt w:val="decimal"/>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lvlText w:val="6.2.%3"/>
      <w:lvlJc w:val="left"/>
      <w:pPr>
        <w:tabs>
          <w:tab w:val="left" w:pos="709"/>
        </w:tabs>
        <w:ind w:left="709" w:hanging="709"/>
      </w:pPr>
      <w:rPr>
        <w:rFonts w:hint="eastAsia"/>
        <w:b w:val="0"/>
        <w:i w:val="0"/>
        <w:sz w:val="32"/>
        <w:szCs w:val="32"/>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3" w15:restartNumberingAfterBreak="0">
    <w:nsid w:val="24586C89"/>
    <w:multiLevelType w:val="multilevel"/>
    <w:tmpl w:val="24586C89"/>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2.4.%3"/>
      <w:lvlJc w:val="left"/>
      <w:pPr>
        <w:tabs>
          <w:tab w:val="left" w:pos="1418"/>
        </w:tabs>
        <w:ind w:left="1418" w:hanging="567"/>
      </w:pPr>
      <w:rPr>
        <w:rFonts w:ascii="仿宋_GB2312" w:eastAsia="仿宋_GB2312" w:hint="eastAsia"/>
        <w:color w:val="000000"/>
        <w:sz w:val="32"/>
        <w:szCs w:val="32"/>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27CD1BA0"/>
    <w:multiLevelType w:val="multilevel"/>
    <w:tmpl w:val="27CD1BA0"/>
    <w:lvl w:ilvl="0">
      <w:start w:val="1"/>
      <w:numFmt w:val="decimal"/>
      <w:lvlText w:val="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29804AAF"/>
    <w:multiLevelType w:val="multilevel"/>
    <w:tmpl w:val="29804AAF"/>
    <w:lvl w:ilvl="0">
      <w:start w:val="1"/>
      <w:numFmt w:val="decimal"/>
      <w:lvlText w:val="4.3.%1"/>
      <w:lvlJc w:val="left"/>
      <w:pPr>
        <w:ind w:left="1838" w:hanging="420"/>
      </w:pPr>
      <w:rPr>
        <w:rFonts w:ascii="仿宋_GB2312" w:eastAsia="仿宋_GB2312" w:hint="eastAsia"/>
        <w:sz w:val="32"/>
        <w:szCs w:val="3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2DD74F17"/>
    <w:multiLevelType w:val="multilevel"/>
    <w:tmpl w:val="2DD74F17"/>
    <w:lvl w:ilvl="0">
      <w:start w:val="1"/>
      <w:numFmt w:val="japaneseCounting"/>
      <w:lvlText w:val="（%1）"/>
      <w:lvlJc w:val="left"/>
      <w:pPr>
        <w:ind w:left="1020" w:hanging="420"/>
      </w:pPr>
      <w:rPr>
        <w:rFonts w:hint="eastAsia"/>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chineseCountingThousand"/>
      <w:lvlText w:val="（%4）"/>
      <w:lvlJc w:val="left"/>
      <w:pPr>
        <w:ind w:left="2280" w:hanging="420"/>
      </w:pPr>
      <w:rPr>
        <w:rFonts w:hint="eastAsia"/>
      </w:r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27" w15:restartNumberingAfterBreak="0">
    <w:nsid w:val="30863595"/>
    <w:multiLevelType w:val="multilevel"/>
    <w:tmpl w:val="30863595"/>
    <w:lvl w:ilvl="0">
      <w:start w:val="1"/>
      <w:numFmt w:val="decimal"/>
      <w:lvlText w:val="4.4.%1"/>
      <w:lvlJc w:val="left"/>
      <w:pPr>
        <w:ind w:left="420" w:hanging="420"/>
      </w:pPr>
      <w:rPr>
        <w:rFonts w:ascii="仿宋_GB2312" w:eastAsia="仿宋_GB2312" w:hint="eastAsia"/>
        <w:sz w:val="32"/>
        <w:szCs w:val="3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33D9535B"/>
    <w:multiLevelType w:val="multilevel"/>
    <w:tmpl w:val="33D9535B"/>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0.%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9" w15:restartNumberingAfterBreak="0">
    <w:nsid w:val="34781991"/>
    <w:multiLevelType w:val="multilevel"/>
    <w:tmpl w:val="34781991"/>
    <w:lvl w:ilvl="0">
      <w:start w:val="1"/>
      <w:numFmt w:val="japaneseCount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35C037F7"/>
    <w:multiLevelType w:val="multilevel"/>
    <w:tmpl w:val="35C037F7"/>
    <w:lvl w:ilvl="0">
      <w:start w:val="1"/>
      <w:numFmt w:val="decimal"/>
      <w:lvlText w:val="3.1.%1"/>
      <w:lvlJc w:val="left"/>
      <w:pPr>
        <w:ind w:left="1020" w:hanging="420"/>
      </w:pPr>
      <w:rPr>
        <w:rFonts w:ascii="仿宋_GB2312" w:eastAsia="仿宋_GB2312" w:hint="eastAsia"/>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31" w15:restartNumberingAfterBreak="0">
    <w:nsid w:val="391528CE"/>
    <w:multiLevelType w:val="multilevel"/>
    <w:tmpl w:val="391528CE"/>
    <w:lvl w:ilvl="0">
      <w:start w:val="1"/>
      <w:numFmt w:val="decimal"/>
      <w:lvlText w:val="%1"/>
      <w:lvlJc w:val="left"/>
      <w:pPr>
        <w:tabs>
          <w:tab w:val="left" w:pos="425"/>
        </w:tabs>
        <w:ind w:left="425" w:hanging="425"/>
      </w:pPr>
      <w:rPr>
        <w:rFonts w:hint="eastAsia"/>
      </w:rPr>
    </w:lvl>
    <w:lvl w:ilvl="1">
      <w:start w:val="1"/>
      <w:numFmt w:val="none"/>
      <w:lvlText w:val="6.1"/>
      <w:lvlJc w:val="left"/>
      <w:pPr>
        <w:tabs>
          <w:tab w:val="left" w:pos="992"/>
        </w:tabs>
        <w:ind w:left="992" w:hanging="567"/>
      </w:pPr>
      <w:rPr>
        <w:rFonts w:ascii="Times New Roman" w:hAnsi="Times New Roman" w:hint="default"/>
        <w:b w:val="0"/>
        <w:i w:val="0"/>
        <w:sz w:val="24"/>
      </w:rPr>
    </w:lvl>
    <w:lvl w:ilvl="2">
      <w:start w:val="1"/>
      <w:numFmt w:val="decimal"/>
      <w:lvlText w:val="8.1.%3"/>
      <w:lvlJc w:val="left"/>
      <w:pPr>
        <w:tabs>
          <w:tab w:val="left" w:pos="1107"/>
        </w:tabs>
        <w:ind w:left="1107" w:hanging="567"/>
      </w:pPr>
      <w:rPr>
        <w:rFonts w:ascii="仿宋_GB2312" w:eastAsia="仿宋_GB2312" w:hint="eastAsia"/>
        <w:b w:val="0"/>
        <w:i w:val="0"/>
        <w:sz w:val="32"/>
        <w:szCs w:val="32"/>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2" w15:restartNumberingAfterBreak="0">
    <w:nsid w:val="3A713888"/>
    <w:multiLevelType w:val="multilevel"/>
    <w:tmpl w:val="3A713888"/>
    <w:lvl w:ilvl="0">
      <w:start w:val="1"/>
      <w:numFmt w:val="japaneseCounting"/>
      <w:lvlText w:val="（%1）"/>
      <w:lvlJc w:val="left"/>
      <w:pPr>
        <w:ind w:left="1680" w:hanging="420"/>
      </w:pPr>
      <w:rPr>
        <w:rFonts w:hint="eastAsia"/>
      </w:rPr>
    </w:lvl>
    <w:lvl w:ilvl="1">
      <w:start w:val="1"/>
      <w:numFmt w:val="lowerLetter"/>
      <w:lvlText w:val="%2)"/>
      <w:lvlJc w:val="left"/>
      <w:pPr>
        <w:ind w:left="2100" w:hanging="420"/>
      </w:pPr>
    </w:lvl>
    <w:lvl w:ilvl="2">
      <w:start w:val="1"/>
      <w:numFmt w:val="lowerRoman"/>
      <w:lvlText w:val="%3."/>
      <w:lvlJc w:val="right"/>
      <w:pPr>
        <w:ind w:left="2520" w:hanging="420"/>
      </w:pPr>
    </w:lvl>
    <w:lvl w:ilvl="3">
      <w:start w:val="1"/>
      <w:numFmt w:val="decimal"/>
      <w:lvlText w:val="%4."/>
      <w:lvlJc w:val="left"/>
      <w:pPr>
        <w:ind w:left="2940" w:hanging="420"/>
      </w:pPr>
    </w:lvl>
    <w:lvl w:ilvl="4">
      <w:start w:val="1"/>
      <w:numFmt w:val="lowerLetter"/>
      <w:lvlText w:val="%5)"/>
      <w:lvlJc w:val="left"/>
      <w:pPr>
        <w:ind w:left="3360" w:hanging="420"/>
      </w:pPr>
    </w:lvl>
    <w:lvl w:ilvl="5">
      <w:start w:val="1"/>
      <w:numFmt w:val="lowerRoman"/>
      <w:lvlText w:val="%6."/>
      <w:lvlJc w:val="right"/>
      <w:pPr>
        <w:ind w:left="3780" w:hanging="420"/>
      </w:pPr>
    </w:lvl>
    <w:lvl w:ilvl="6">
      <w:start w:val="1"/>
      <w:numFmt w:val="decimal"/>
      <w:lvlText w:val="%7."/>
      <w:lvlJc w:val="left"/>
      <w:pPr>
        <w:ind w:left="4200" w:hanging="420"/>
      </w:pPr>
    </w:lvl>
    <w:lvl w:ilvl="7">
      <w:start w:val="1"/>
      <w:numFmt w:val="lowerLetter"/>
      <w:lvlText w:val="%8)"/>
      <w:lvlJc w:val="left"/>
      <w:pPr>
        <w:ind w:left="4620" w:hanging="420"/>
      </w:pPr>
    </w:lvl>
    <w:lvl w:ilvl="8">
      <w:start w:val="1"/>
      <w:numFmt w:val="lowerRoman"/>
      <w:lvlText w:val="%9."/>
      <w:lvlJc w:val="right"/>
      <w:pPr>
        <w:ind w:left="5040" w:hanging="420"/>
      </w:pPr>
    </w:lvl>
  </w:abstractNum>
  <w:abstractNum w:abstractNumId="33" w15:restartNumberingAfterBreak="0">
    <w:nsid w:val="3A8F41FF"/>
    <w:multiLevelType w:val="multilevel"/>
    <w:tmpl w:val="3A8F41FF"/>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4.1.%3"/>
      <w:lvlJc w:val="left"/>
      <w:pPr>
        <w:tabs>
          <w:tab w:val="left" w:pos="1418"/>
        </w:tabs>
        <w:ind w:left="1418" w:hanging="567"/>
      </w:pPr>
      <w:rPr>
        <w:rFonts w:hint="default"/>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4" w15:restartNumberingAfterBreak="0">
    <w:nsid w:val="3DD9DE31"/>
    <w:multiLevelType w:val="singleLevel"/>
    <w:tmpl w:val="3DD9DE31"/>
    <w:lvl w:ilvl="0">
      <w:start w:val="1"/>
      <w:numFmt w:val="chineseCounting"/>
      <w:suff w:val="nothing"/>
      <w:lvlText w:val="（%1）"/>
      <w:lvlJc w:val="left"/>
      <w:rPr>
        <w:rFonts w:hint="eastAsia"/>
      </w:rPr>
    </w:lvl>
  </w:abstractNum>
  <w:abstractNum w:abstractNumId="35" w15:restartNumberingAfterBreak="0">
    <w:nsid w:val="3F141C2E"/>
    <w:multiLevelType w:val="multilevel"/>
    <w:tmpl w:val="3F141C2E"/>
    <w:lvl w:ilvl="0">
      <w:start w:val="1"/>
      <w:numFmt w:val="decimal"/>
      <w:lvlText w:val="3.2.%1"/>
      <w:lvlJc w:val="left"/>
      <w:pPr>
        <w:ind w:left="1020" w:hanging="420"/>
      </w:pPr>
      <w:rPr>
        <w:rFonts w:ascii="仿宋_GB2312" w:eastAsia="仿宋_GB2312"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15:restartNumberingAfterBreak="0">
    <w:nsid w:val="3F724550"/>
    <w:multiLevelType w:val="multilevel"/>
    <w:tmpl w:val="3F724550"/>
    <w:lvl w:ilvl="0">
      <w:start w:val="1"/>
      <w:numFmt w:val="japaneseCounting"/>
      <w:lvlText w:val="（%1）"/>
      <w:lvlJc w:val="left"/>
      <w:pPr>
        <w:ind w:left="2498" w:hanging="1080"/>
      </w:pPr>
      <w:rPr>
        <w:rFonts w:hint="default"/>
      </w:rPr>
    </w:lvl>
    <w:lvl w:ilvl="1">
      <w:start w:val="1"/>
      <w:numFmt w:val="lowerLetter"/>
      <w:lvlText w:val="%2)"/>
      <w:lvlJc w:val="left"/>
      <w:pPr>
        <w:ind w:left="2258" w:hanging="420"/>
      </w:pPr>
    </w:lvl>
    <w:lvl w:ilvl="2">
      <w:start w:val="1"/>
      <w:numFmt w:val="lowerRoman"/>
      <w:lvlText w:val="%3."/>
      <w:lvlJc w:val="right"/>
      <w:pPr>
        <w:ind w:left="2678" w:hanging="420"/>
      </w:pPr>
    </w:lvl>
    <w:lvl w:ilvl="3">
      <w:start w:val="1"/>
      <w:numFmt w:val="decimal"/>
      <w:lvlText w:val="%4."/>
      <w:lvlJc w:val="left"/>
      <w:pPr>
        <w:ind w:left="3098" w:hanging="420"/>
      </w:pPr>
    </w:lvl>
    <w:lvl w:ilvl="4">
      <w:start w:val="1"/>
      <w:numFmt w:val="lowerLetter"/>
      <w:lvlText w:val="%5)"/>
      <w:lvlJc w:val="left"/>
      <w:pPr>
        <w:ind w:left="3518" w:hanging="420"/>
      </w:pPr>
    </w:lvl>
    <w:lvl w:ilvl="5">
      <w:start w:val="1"/>
      <w:numFmt w:val="lowerRoman"/>
      <w:lvlText w:val="%6."/>
      <w:lvlJc w:val="right"/>
      <w:pPr>
        <w:ind w:left="3938" w:hanging="420"/>
      </w:pPr>
    </w:lvl>
    <w:lvl w:ilvl="6">
      <w:start w:val="1"/>
      <w:numFmt w:val="decimal"/>
      <w:lvlText w:val="%7."/>
      <w:lvlJc w:val="left"/>
      <w:pPr>
        <w:ind w:left="4358" w:hanging="420"/>
      </w:pPr>
    </w:lvl>
    <w:lvl w:ilvl="7">
      <w:start w:val="1"/>
      <w:numFmt w:val="lowerLetter"/>
      <w:lvlText w:val="%8)"/>
      <w:lvlJc w:val="left"/>
      <w:pPr>
        <w:ind w:left="4778" w:hanging="420"/>
      </w:pPr>
    </w:lvl>
    <w:lvl w:ilvl="8">
      <w:start w:val="1"/>
      <w:numFmt w:val="lowerRoman"/>
      <w:lvlText w:val="%9."/>
      <w:lvlJc w:val="right"/>
      <w:pPr>
        <w:ind w:left="5198" w:hanging="420"/>
      </w:pPr>
    </w:lvl>
  </w:abstractNum>
  <w:abstractNum w:abstractNumId="37" w15:restartNumberingAfterBreak="0">
    <w:nsid w:val="41702B4F"/>
    <w:multiLevelType w:val="multilevel"/>
    <w:tmpl w:val="41702B4F"/>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4.2.%3"/>
      <w:lvlJc w:val="left"/>
      <w:pPr>
        <w:tabs>
          <w:tab w:val="left" w:pos="1986"/>
        </w:tabs>
        <w:ind w:left="1986" w:hanging="567"/>
      </w:pPr>
      <w:rPr>
        <w:rFonts w:hint="default"/>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8" w15:restartNumberingAfterBreak="0">
    <w:nsid w:val="4288B1E3"/>
    <w:multiLevelType w:val="singleLevel"/>
    <w:tmpl w:val="4288B1E3"/>
    <w:lvl w:ilvl="0">
      <w:start w:val="1"/>
      <w:numFmt w:val="chineseCounting"/>
      <w:suff w:val="nothing"/>
      <w:lvlText w:val="（%1）"/>
      <w:lvlJc w:val="left"/>
      <w:rPr>
        <w:rFonts w:hint="eastAsia"/>
      </w:rPr>
    </w:lvl>
  </w:abstractNum>
  <w:abstractNum w:abstractNumId="39" w15:restartNumberingAfterBreak="0">
    <w:nsid w:val="42D76990"/>
    <w:multiLevelType w:val="multilevel"/>
    <w:tmpl w:val="42D76990"/>
    <w:lvl w:ilvl="0">
      <w:start w:val="1"/>
      <w:numFmt w:val="decimal"/>
      <w:lvlText w:val="13.1.%1"/>
      <w:lvlJc w:val="left"/>
      <w:pPr>
        <w:ind w:left="1020" w:hanging="420"/>
      </w:pPr>
      <w:rPr>
        <w:rFonts w:ascii="仿宋_GB2312" w:eastAsia="仿宋_GB2312" w:hint="eastAsia"/>
        <w:sz w:val="32"/>
        <w:szCs w:val="32"/>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40" w15:restartNumberingAfterBreak="0">
    <w:nsid w:val="42FE4F5A"/>
    <w:multiLevelType w:val="multilevel"/>
    <w:tmpl w:val="42FE4F5A"/>
    <w:lvl w:ilvl="0">
      <w:start w:val="1"/>
      <w:numFmt w:val="japaneseCounting"/>
      <w:lvlText w:val="（%1）"/>
      <w:lvlJc w:val="left"/>
      <w:pPr>
        <w:ind w:left="1680" w:hanging="1080"/>
      </w:pPr>
      <w:rPr>
        <w:rFonts w:hint="default"/>
        <w:lang w:val="en-US"/>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41" w15:restartNumberingAfterBreak="0">
    <w:nsid w:val="4B8E50EA"/>
    <w:multiLevelType w:val="multilevel"/>
    <w:tmpl w:val="4B8E50EA"/>
    <w:lvl w:ilvl="0">
      <w:start w:val="1"/>
      <w:numFmt w:val="decimal"/>
      <w:lvlText w:val="12.9.%1"/>
      <w:lvlJc w:val="left"/>
      <w:pPr>
        <w:ind w:left="1837" w:hanging="420"/>
      </w:pPr>
      <w:rPr>
        <w:rFonts w:hint="eastAsia"/>
      </w:rPr>
    </w:lvl>
    <w:lvl w:ilvl="1">
      <w:start w:val="1"/>
      <w:numFmt w:val="lowerLetter"/>
      <w:lvlText w:val="%2)"/>
      <w:lvlJc w:val="left"/>
      <w:pPr>
        <w:ind w:left="830" w:hanging="420"/>
      </w:pPr>
    </w:lvl>
    <w:lvl w:ilvl="2">
      <w:start w:val="1"/>
      <w:numFmt w:val="lowerRoman"/>
      <w:lvlText w:val="%3."/>
      <w:lvlJc w:val="right"/>
      <w:pPr>
        <w:ind w:left="1250" w:hanging="420"/>
      </w:pPr>
    </w:lvl>
    <w:lvl w:ilvl="3">
      <w:start w:val="1"/>
      <w:numFmt w:val="decimal"/>
      <w:lvlText w:val="%4."/>
      <w:lvlJc w:val="left"/>
      <w:pPr>
        <w:ind w:left="1670" w:hanging="420"/>
      </w:pPr>
    </w:lvl>
    <w:lvl w:ilvl="4">
      <w:start w:val="1"/>
      <w:numFmt w:val="lowerLetter"/>
      <w:lvlText w:val="%5)"/>
      <w:lvlJc w:val="left"/>
      <w:pPr>
        <w:ind w:left="2090" w:hanging="420"/>
      </w:pPr>
    </w:lvl>
    <w:lvl w:ilvl="5">
      <w:start w:val="1"/>
      <w:numFmt w:val="lowerRoman"/>
      <w:lvlText w:val="%6."/>
      <w:lvlJc w:val="right"/>
      <w:pPr>
        <w:ind w:left="2510" w:hanging="420"/>
      </w:pPr>
    </w:lvl>
    <w:lvl w:ilvl="6">
      <w:start w:val="1"/>
      <w:numFmt w:val="decimal"/>
      <w:lvlText w:val="%7."/>
      <w:lvlJc w:val="left"/>
      <w:pPr>
        <w:ind w:left="2930" w:hanging="420"/>
      </w:pPr>
    </w:lvl>
    <w:lvl w:ilvl="7">
      <w:start w:val="1"/>
      <w:numFmt w:val="lowerLetter"/>
      <w:lvlText w:val="%8)"/>
      <w:lvlJc w:val="left"/>
      <w:pPr>
        <w:ind w:left="3350" w:hanging="420"/>
      </w:pPr>
    </w:lvl>
    <w:lvl w:ilvl="8">
      <w:start w:val="1"/>
      <w:numFmt w:val="lowerRoman"/>
      <w:lvlText w:val="%9."/>
      <w:lvlJc w:val="right"/>
      <w:pPr>
        <w:ind w:left="3770" w:hanging="420"/>
      </w:pPr>
    </w:lvl>
  </w:abstractNum>
  <w:abstractNum w:abstractNumId="42" w15:restartNumberingAfterBreak="0">
    <w:nsid w:val="4CF635A2"/>
    <w:multiLevelType w:val="multilevel"/>
    <w:tmpl w:val="4CF635A2"/>
    <w:lvl w:ilvl="0">
      <w:start w:val="1"/>
      <w:numFmt w:val="decimal"/>
      <w:lvlText w:val="%1"/>
      <w:lvlJc w:val="left"/>
      <w:pPr>
        <w:tabs>
          <w:tab w:val="left" w:pos="425"/>
        </w:tabs>
        <w:ind w:left="425" w:hanging="425"/>
      </w:pPr>
      <w:rPr>
        <w:rFonts w:hint="eastAsia"/>
      </w:rPr>
    </w:lvl>
    <w:lvl w:ilvl="1">
      <w:start w:val="1"/>
      <w:numFmt w:val="none"/>
      <w:lvlText w:val="6.1"/>
      <w:lvlJc w:val="left"/>
      <w:pPr>
        <w:tabs>
          <w:tab w:val="left" w:pos="992"/>
        </w:tabs>
        <w:ind w:left="992" w:hanging="567"/>
      </w:pPr>
      <w:rPr>
        <w:rFonts w:ascii="Times New Roman" w:hAnsi="Times New Roman" w:hint="default"/>
        <w:b w:val="0"/>
        <w:i w:val="0"/>
        <w:sz w:val="24"/>
      </w:rPr>
    </w:lvl>
    <w:lvl w:ilvl="2">
      <w:start w:val="1"/>
      <w:numFmt w:val="decimal"/>
      <w:lvlText w:val="8.2.%3"/>
      <w:lvlJc w:val="left"/>
      <w:pPr>
        <w:tabs>
          <w:tab w:val="left" w:pos="1107"/>
        </w:tabs>
        <w:ind w:left="1107" w:hanging="567"/>
      </w:pPr>
      <w:rPr>
        <w:rFonts w:ascii="仿宋_GB2312" w:eastAsia="仿宋_GB2312" w:hint="eastAsia"/>
        <w:b w:val="0"/>
        <w:i w:val="0"/>
        <w:sz w:val="32"/>
        <w:szCs w:val="32"/>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3" w15:restartNumberingAfterBreak="0">
    <w:nsid w:val="4FA40653"/>
    <w:multiLevelType w:val="multilevel"/>
    <w:tmpl w:val="4FA40653"/>
    <w:lvl w:ilvl="0">
      <w:start w:val="1"/>
      <w:numFmt w:val="japaneseCounting"/>
      <w:lvlText w:val="（%1）"/>
      <w:lvlJc w:val="left"/>
      <w:pPr>
        <w:ind w:left="1680" w:hanging="108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44" w15:restartNumberingAfterBreak="0">
    <w:nsid w:val="507A117E"/>
    <w:multiLevelType w:val="multilevel"/>
    <w:tmpl w:val="507A117E"/>
    <w:lvl w:ilvl="0">
      <w:start w:val="1"/>
      <w:numFmt w:val="chineseCountingThousand"/>
      <w:lvlText w:val="（%1）"/>
      <w:lvlJc w:val="left"/>
      <w:pPr>
        <w:ind w:left="1020" w:hanging="420"/>
      </w:pPr>
      <w:rPr>
        <w:rFonts w:hint="eastAsia"/>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45" w15:restartNumberingAfterBreak="0">
    <w:nsid w:val="517132A2"/>
    <w:multiLevelType w:val="multilevel"/>
    <w:tmpl w:val="517132A2"/>
    <w:lvl w:ilvl="0">
      <w:start w:val="1"/>
      <w:numFmt w:val="chineseCountingThousand"/>
      <w:lvlText w:val="（%1）"/>
      <w:lvlJc w:val="left"/>
      <w:pPr>
        <w:ind w:left="2320" w:hanging="420"/>
      </w:pPr>
      <w:rPr>
        <w:rFonts w:hint="eastAsia"/>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6" w15:restartNumberingAfterBreak="0">
    <w:nsid w:val="51A446F0"/>
    <w:multiLevelType w:val="multilevel"/>
    <w:tmpl w:val="51A446F0"/>
    <w:lvl w:ilvl="0">
      <w:start w:val="1"/>
      <w:numFmt w:val="decimal"/>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lvlText w:val="9.1.%3"/>
      <w:lvlJc w:val="left"/>
      <w:pPr>
        <w:tabs>
          <w:tab w:val="left" w:pos="709"/>
        </w:tabs>
        <w:ind w:left="709" w:hanging="709"/>
      </w:pPr>
      <w:rPr>
        <w:rFonts w:hint="eastAsia"/>
        <w:b w:val="0"/>
        <w:i w:val="0"/>
        <w:sz w:val="32"/>
        <w:szCs w:val="32"/>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7" w15:restartNumberingAfterBreak="0">
    <w:nsid w:val="51CC5799"/>
    <w:multiLevelType w:val="multilevel"/>
    <w:tmpl w:val="51CC5799"/>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2.8.%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8" w15:restartNumberingAfterBreak="0">
    <w:nsid w:val="51E160B7"/>
    <w:multiLevelType w:val="multilevel"/>
    <w:tmpl w:val="51E160B7"/>
    <w:lvl w:ilvl="0">
      <w:start w:val="1"/>
      <w:numFmt w:val="decimal"/>
      <w:lvlText w:val="13.2.%1"/>
      <w:lvlJc w:val="left"/>
      <w:pPr>
        <w:ind w:left="1020" w:hanging="420"/>
      </w:pPr>
      <w:rPr>
        <w:rFonts w:ascii="仿宋_GB2312" w:eastAsia="仿宋_GB2312" w:hint="eastAsia"/>
        <w:sz w:val="32"/>
        <w:szCs w:val="32"/>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49" w15:restartNumberingAfterBreak="0">
    <w:nsid w:val="59393B6C"/>
    <w:multiLevelType w:val="multilevel"/>
    <w:tmpl w:val="59393B6C"/>
    <w:lvl w:ilvl="0">
      <w:start w:val="1"/>
      <w:numFmt w:val="japaneseCounting"/>
      <w:lvlText w:val="（%1）"/>
      <w:lvlJc w:val="left"/>
      <w:pPr>
        <w:ind w:left="1680" w:hanging="108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50" w15:restartNumberingAfterBreak="0">
    <w:nsid w:val="59F265CF"/>
    <w:multiLevelType w:val="multilevel"/>
    <w:tmpl w:val="59F265CF"/>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5.%3"/>
      <w:lvlJc w:val="left"/>
      <w:pPr>
        <w:tabs>
          <w:tab w:val="left" w:pos="1418"/>
        </w:tabs>
        <w:ind w:left="1418" w:hanging="567"/>
      </w:pPr>
      <w:rPr>
        <w:rFonts w:hint="default"/>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51" w15:restartNumberingAfterBreak="0">
    <w:nsid w:val="59F8406A"/>
    <w:multiLevelType w:val="multilevel"/>
    <w:tmpl w:val="59F8406A"/>
    <w:lvl w:ilvl="0">
      <w:start w:val="1"/>
      <w:numFmt w:val="japaneseCounting"/>
      <w:lvlText w:val="（%1）"/>
      <w:lvlJc w:val="left"/>
      <w:pPr>
        <w:ind w:left="1060" w:hanging="420"/>
      </w:pPr>
      <w:rPr>
        <w:rFonts w:hint="eastAsia"/>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chineseCountingThousand"/>
      <w:lvlText w:val="（%4）"/>
      <w:lvlJc w:val="left"/>
      <w:pPr>
        <w:ind w:left="2320" w:hanging="420"/>
      </w:pPr>
      <w:rPr>
        <w:rFonts w:hint="eastAsia"/>
      </w:r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2" w15:restartNumberingAfterBreak="0">
    <w:nsid w:val="5A151A01"/>
    <w:multiLevelType w:val="multilevel"/>
    <w:tmpl w:val="5A151A01"/>
    <w:lvl w:ilvl="0">
      <w:start w:val="1"/>
      <w:numFmt w:val="japaneseCounting"/>
      <w:lvlText w:val="（%1）"/>
      <w:lvlJc w:val="left"/>
      <w:pPr>
        <w:ind w:left="4530" w:hanging="141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53" w15:restartNumberingAfterBreak="0">
    <w:nsid w:val="5B4127A2"/>
    <w:multiLevelType w:val="multilevel"/>
    <w:tmpl w:val="5B4127A2"/>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2.5.%3"/>
      <w:lvlJc w:val="left"/>
      <w:pPr>
        <w:tabs>
          <w:tab w:val="left" w:pos="1418"/>
        </w:tabs>
        <w:ind w:left="1418" w:hanging="567"/>
      </w:pPr>
      <w:rPr>
        <w:rFonts w:hint="eastAsia"/>
        <w:sz w:val="32"/>
        <w:szCs w:val="32"/>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54" w15:restartNumberingAfterBreak="0">
    <w:nsid w:val="5D747A6E"/>
    <w:multiLevelType w:val="multilevel"/>
    <w:tmpl w:val="5D747A6E"/>
    <w:lvl w:ilvl="0">
      <w:start w:val="1"/>
      <w:numFmt w:val="decimal"/>
      <w:lvlText w:val="%1."/>
      <w:lvlJc w:val="left"/>
      <w:pPr>
        <w:ind w:left="1571" w:hanging="720"/>
      </w:pPr>
      <w:rPr>
        <w:rFonts w:hint="default"/>
      </w:rPr>
    </w:lvl>
    <w:lvl w:ilvl="1">
      <w:start w:val="1"/>
      <w:numFmt w:val="lowerLetter"/>
      <w:lvlText w:val="%2)"/>
      <w:lvlJc w:val="left"/>
      <w:pPr>
        <w:ind w:left="-153" w:hanging="420"/>
      </w:pPr>
    </w:lvl>
    <w:lvl w:ilvl="2">
      <w:start w:val="1"/>
      <w:numFmt w:val="lowerRoman"/>
      <w:lvlText w:val="%3."/>
      <w:lvlJc w:val="right"/>
      <w:pPr>
        <w:ind w:left="267" w:hanging="420"/>
      </w:pPr>
    </w:lvl>
    <w:lvl w:ilvl="3">
      <w:start w:val="1"/>
      <w:numFmt w:val="decimal"/>
      <w:lvlText w:val="%4."/>
      <w:lvlJc w:val="left"/>
      <w:pPr>
        <w:ind w:left="687" w:hanging="420"/>
      </w:pPr>
    </w:lvl>
    <w:lvl w:ilvl="4">
      <w:start w:val="1"/>
      <w:numFmt w:val="lowerLetter"/>
      <w:lvlText w:val="%5)"/>
      <w:lvlJc w:val="left"/>
      <w:pPr>
        <w:ind w:left="1107" w:hanging="420"/>
      </w:pPr>
    </w:lvl>
    <w:lvl w:ilvl="5">
      <w:start w:val="1"/>
      <w:numFmt w:val="lowerRoman"/>
      <w:lvlText w:val="%6."/>
      <w:lvlJc w:val="right"/>
      <w:pPr>
        <w:ind w:left="1527" w:hanging="420"/>
      </w:pPr>
    </w:lvl>
    <w:lvl w:ilvl="6">
      <w:start w:val="1"/>
      <w:numFmt w:val="decimal"/>
      <w:lvlText w:val="%7."/>
      <w:lvlJc w:val="left"/>
      <w:pPr>
        <w:ind w:left="1947" w:hanging="420"/>
      </w:pPr>
    </w:lvl>
    <w:lvl w:ilvl="7">
      <w:start w:val="1"/>
      <w:numFmt w:val="lowerLetter"/>
      <w:lvlText w:val="%8)"/>
      <w:lvlJc w:val="left"/>
      <w:pPr>
        <w:ind w:left="2367" w:hanging="420"/>
      </w:pPr>
    </w:lvl>
    <w:lvl w:ilvl="8">
      <w:start w:val="1"/>
      <w:numFmt w:val="lowerRoman"/>
      <w:lvlText w:val="%9."/>
      <w:lvlJc w:val="right"/>
      <w:pPr>
        <w:ind w:left="2787" w:hanging="420"/>
      </w:pPr>
    </w:lvl>
  </w:abstractNum>
  <w:abstractNum w:abstractNumId="55" w15:restartNumberingAfterBreak="0">
    <w:nsid w:val="5DDD2EFB"/>
    <w:multiLevelType w:val="multilevel"/>
    <w:tmpl w:val="5DDD2EFB"/>
    <w:lvl w:ilvl="0">
      <w:start w:val="2"/>
      <w:numFmt w:val="decimal"/>
      <w:lvlText w:val="%1"/>
      <w:lvlJc w:val="left"/>
      <w:pPr>
        <w:tabs>
          <w:tab w:val="left" w:pos="425"/>
        </w:tabs>
        <w:ind w:left="425" w:hanging="425"/>
      </w:pPr>
      <w:rPr>
        <w:rFonts w:hint="eastAsia"/>
      </w:rPr>
    </w:lvl>
    <w:lvl w:ilvl="1">
      <w:start w:val="1"/>
      <w:numFmt w:val="decimal"/>
      <w:lvlText w:val="5.4.%2"/>
      <w:lvlJc w:val="left"/>
      <w:pPr>
        <w:tabs>
          <w:tab w:val="left" w:pos="992"/>
        </w:tabs>
        <w:ind w:left="992" w:hanging="567"/>
      </w:pPr>
      <w:rPr>
        <w:rFonts w:hint="eastAsia"/>
        <w:b w:val="0"/>
        <w:i w:val="0"/>
        <w:color w:val="auto"/>
        <w:sz w:val="32"/>
        <w:szCs w:val="32"/>
      </w:rPr>
    </w:lvl>
    <w:lvl w:ilvl="2">
      <w:start w:val="1"/>
      <w:numFmt w:val="decimal"/>
      <w:lvlText w:val="%1.%2.%3"/>
      <w:lvlJc w:val="left"/>
      <w:pPr>
        <w:tabs>
          <w:tab w:val="left" w:pos="1571"/>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56" w15:restartNumberingAfterBreak="0">
    <w:nsid w:val="61862338"/>
    <w:multiLevelType w:val="multilevel"/>
    <w:tmpl w:val="61862338"/>
    <w:lvl w:ilvl="0">
      <w:start w:val="1"/>
      <w:numFmt w:val="japaneseCounting"/>
      <w:lvlText w:val="（%1）"/>
      <w:lvlJc w:val="left"/>
      <w:pPr>
        <w:ind w:left="1788" w:hanging="108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57" w15:restartNumberingAfterBreak="0">
    <w:nsid w:val="71534485"/>
    <w:multiLevelType w:val="multilevel"/>
    <w:tmpl w:val="71534485"/>
    <w:lvl w:ilvl="0">
      <w:start w:val="1"/>
      <w:numFmt w:val="decimal"/>
      <w:lvlText w:val="4.2.%1"/>
      <w:lvlJc w:val="left"/>
      <w:pPr>
        <w:ind w:left="1555" w:hanging="420"/>
      </w:pPr>
      <w:rPr>
        <w:rFonts w:ascii="仿宋_GB2312" w:eastAsia="仿宋_GB2312" w:hint="eastAsia"/>
        <w:b w:val="0"/>
      </w:rPr>
    </w:lvl>
    <w:lvl w:ilvl="1">
      <w:start w:val="1"/>
      <w:numFmt w:val="lowerLetter"/>
      <w:lvlText w:val="%2)"/>
      <w:lvlJc w:val="left"/>
      <w:pPr>
        <w:ind w:left="1975" w:hanging="420"/>
      </w:pPr>
    </w:lvl>
    <w:lvl w:ilvl="2">
      <w:start w:val="1"/>
      <w:numFmt w:val="lowerRoman"/>
      <w:lvlText w:val="%3."/>
      <w:lvlJc w:val="right"/>
      <w:pPr>
        <w:ind w:left="2395" w:hanging="420"/>
      </w:pPr>
    </w:lvl>
    <w:lvl w:ilvl="3">
      <w:start w:val="1"/>
      <w:numFmt w:val="decimal"/>
      <w:lvlText w:val="%4."/>
      <w:lvlJc w:val="left"/>
      <w:pPr>
        <w:ind w:left="2815" w:hanging="420"/>
      </w:pPr>
    </w:lvl>
    <w:lvl w:ilvl="4">
      <w:start w:val="1"/>
      <w:numFmt w:val="lowerLetter"/>
      <w:lvlText w:val="%5)"/>
      <w:lvlJc w:val="left"/>
      <w:pPr>
        <w:ind w:left="3235" w:hanging="420"/>
      </w:pPr>
    </w:lvl>
    <w:lvl w:ilvl="5">
      <w:start w:val="1"/>
      <w:numFmt w:val="lowerRoman"/>
      <w:lvlText w:val="%6."/>
      <w:lvlJc w:val="right"/>
      <w:pPr>
        <w:ind w:left="3655" w:hanging="420"/>
      </w:pPr>
    </w:lvl>
    <w:lvl w:ilvl="6">
      <w:start w:val="1"/>
      <w:numFmt w:val="decimal"/>
      <w:lvlText w:val="%7."/>
      <w:lvlJc w:val="left"/>
      <w:pPr>
        <w:ind w:left="4075" w:hanging="420"/>
      </w:pPr>
    </w:lvl>
    <w:lvl w:ilvl="7">
      <w:start w:val="1"/>
      <w:numFmt w:val="lowerLetter"/>
      <w:lvlText w:val="%8)"/>
      <w:lvlJc w:val="left"/>
      <w:pPr>
        <w:ind w:left="4495" w:hanging="420"/>
      </w:pPr>
    </w:lvl>
    <w:lvl w:ilvl="8">
      <w:start w:val="1"/>
      <w:numFmt w:val="lowerRoman"/>
      <w:lvlText w:val="%9."/>
      <w:lvlJc w:val="right"/>
      <w:pPr>
        <w:ind w:left="4915" w:hanging="420"/>
      </w:pPr>
    </w:lvl>
  </w:abstractNum>
  <w:abstractNum w:abstractNumId="58" w15:restartNumberingAfterBreak="0">
    <w:nsid w:val="71C01660"/>
    <w:multiLevelType w:val="multilevel"/>
    <w:tmpl w:val="71C01660"/>
    <w:lvl w:ilvl="0">
      <w:start w:val="1"/>
      <w:numFmt w:val="decimal"/>
      <w:lvlText w:val="%1"/>
      <w:lvlJc w:val="left"/>
      <w:pPr>
        <w:tabs>
          <w:tab w:val="left" w:pos="432"/>
        </w:tabs>
        <w:ind w:left="432" w:hanging="432"/>
      </w:pPr>
      <w:rPr>
        <w:rFonts w:hint="eastAsia"/>
      </w:rPr>
    </w:lvl>
    <w:lvl w:ilvl="1">
      <w:start w:val="1"/>
      <w:numFmt w:val="decimal"/>
      <w:lvlText w:val="%1.%2"/>
      <w:lvlJc w:val="left"/>
      <w:pPr>
        <w:tabs>
          <w:tab w:val="left" w:pos="576"/>
        </w:tabs>
        <w:ind w:left="576" w:hanging="576"/>
      </w:pPr>
      <w:rPr>
        <w:rFonts w:hint="eastAsia"/>
      </w:rPr>
    </w:lvl>
    <w:lvl w:ilvl="2">
      <w:start w:val="1"/>
      <w:numFmt w:val="decimal"/>
      <w:lvlText w:val="2.1.%3"/>
      <w:lvlJc w:val="left"/>
      <w:pPr>
        <w:tabs>
          <w:tab w:val="left" w:pos="720"/>
        </w:tabs>
        <w:ind w:left="720" w:hanging="720"/>
      </w:pPr>
      <w:rPr>
        <w:rFonts w:ascii="仿宋_GB2312" w:eastAsia="仿宋_GB2312" w:hint="eastAsia"/>
        <w:b w:val="0"/>
        <w:i w:val="0"/>
        <w:sz w:val="32"/>
        <w:szCs w:val="32"/>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59" w15:restartNumberingAfterBreak="0">
    <w:nsid w:val="7403754B"/>
    <w:multiLevelType w:val="multilevel"/>
    <w:tmpl w:val="7403754B"/>
    <w:lvl w:ilvl="0">
      <w:start w:val="2"/>
      <w:numFmt w:val="decimal"/>
      <w:lvlText w:val="%1"/>
      <w:lvlJc w:val="left"/>
      <w:pPr>
        <w:tabs>
          <w:tab w:val="left" w:pos="425"/>
        </w:tabs>
        <w:ind w:left="425" w:hanging="425"/>
      </w:pPr>
      <w:rPr>
        <w:rFonts w:hint="eastAsia"/>
      </w:rPr>
    </w:lvl>
    <w:lvl w:ilvl="1">
      <w:start w:val="1"/>
      <w:numFmt w:val="decimal"/>
      <w:lvlText w:val="5.1.%2"/>
      <w:lvlJc w:val="left"/>
      <w:pPr>
        <w:tabs>
          <w:tab w:val="left" w:pos="992"/>
        </w:tabs>
        <w:ind w:left="992" w:hanging="567"/>
      </w:pPr>
      <w:rPr>
        <w:rFonts w:ascii="仿宋_GB2312" w:eastAsia="仿宋_GB2312" w:hint="eastAsia"/>
        <w:b w:val="0"/>
        <w:i w:val="0"/>
        <w:color w:val="auto"/>
        <w:sz w:val="32"/>
        <w:szCs w:val="32"/>
      </w:rPr>
    </w:lvl>
    <w:lvl w:ilvl="2">
      <w:start w:val="1"/>
      <w:numFmt w:val="decimal"/>
      <w:lvlText w:val="%1.%2.%3"/>
      <w:lvlJc w:val="left"/>
      <w:pPr>
        <w:tabs>
          <w:tab w:val="left" w:pos="1571"/>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0" w15:restartNumberingAfterBreak="0">
    <w:nsid w:val="76EA436B"/>
    <w:multiLevelType w:val="multilevel"/>
    <w:tmpl w:val="76EA436B"/>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2.1.%3"/>
      <w:lvlJc w:val="left"/>
      <w:pPr>
        <w:tabs>
          <w:tab w:val="left" w:pos="1418"/>
        </w:tabs>
        <w:ind w:left="1418" w:hanging="567"/>
      </w:pPr>
      <w:rPr>
        <w:rFonts w:hint="eastAsia"/>
        <w:sz w:val="32"/>
        <w:szCs w:val="32"/>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1" w15:restartNumberingAfterBreak="0">
    <w:nsid w:val="78EF2EC5"/>
    <w:multiLevelType w:val="multilevel"/>
    <w:tmpl w:val="78EF2EC5"/>
    <w:lvl w:ilvl="0">
      <w:start w:val="2"/>
      <w:numFmt w:val="decimal"/>
      <w:lvlText w:val="%1"/>
      <w:lvlJc w:val="left"/>
      <w:pPr>
        <w:tabs>
          <w:tab w:val="left" w:pos="425"/>
        </w:tabs>
        <w:ind w:left="425" w:hanging="425"/>
      </w:pPr>
      <w:rPr>
        <w:rFonts w:hint="eastAsia"/>
      </w:rPr>
    </w:lvl>
    <w:lvl w:ilvl="1">
      <w:start w:val="1"/>
      <w:numFmt w:val="decimal"/>
      <w:lvlText w:val="4.1.%2"/>
      <w:lvlJc w:val="left"/>
      <w:pPr>
        <w:tabs>
          <w:tab w:val="left" w:pos="2127"/>
        </w:tabs>
        <w:ind w:left="2127" w:hanging="567"/>
      </w:pPr>
      <w:rPr>
        <w:rFonts w:hint="eastAsia"/>
        <w:b w:val="0"/>
        <w:i w:val="0"/>
        <w:color w:val="auto"/>
        <w:sz w:val="32"/>
        <w:szCs w:val="32"/>
      </w:rPr>
    </w:lvl>
    <w:lvl w:ilvl="2">
      <w:start w:val="1"/>
      <w:numFmt w:val="decimal"/>
      <w:lvlText w:val="%1.%2.%3"/>
      <w:lvlJc w:val="left"/>
      <w:pPr>
        <w:tabs>
          <w:tab w:val="left" w:pos="1571"/>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2" w15:restartNumberingAfterBreak="0">
    <w:nsid w:val="7B8731A3"/>
    <w:multiLevelType w:val="multilevel"/>
    <w:tmpl w:val="7B8731A3"/>
    <w:lvl w:ilvl="0">
      <w:start w:val="11"/>
      <w:numFmt w:val="decimal"/>
      <w:lvlText w:val="%1"/>
      <w:lvlJc w:val="left"/>
      <w:pPr>
        <w:tabs>
          <w:tab w:val="left" w:pos="425"/>
        </w:tabs>
        <w:ind w:left="425" w:hanging="425"/>
      </w:pPr>
      <w:rPr>
        <w:rFonts w:hint="eastAsia"/>
      </w:rPr>
    </w:lvl>
    <w:lvl w:ilvl="1">
      <w:start w:val="8"/>
      <w:numFmt w:val="decimal"/>
      <w:lvlText w:val="%1.%2"/>
      <w:lvlJc w:val="left"/>
      <w:pPr>
        <w:tabs>
          <w:tab w:val="left" w:pos="992"/>
        </w:tabs>
        <w:ind w:left="992" w:hanging="567"/>
      </w:pPr>
      <w:rPr>
        <w:rFonts w:hint="eastAsia"/>
      </w:rPr>
    </w:lvl>
    <w:lvl w:ilvl="2">
      <w:start w:val="1"/>
      <w:numFmt w:val="decimal"/>
      <w:lvlText w:val="16.%3"/>
      <w:lvlJc w:val="left"/>
      <w:pPr>
        <w:tabs>
          <w:tab w:val="left" w:pos="1418"/>
        </w:tabs>
        <w:ind w:left="1418" w:hanging="567"/>
      </w:pPr>
      <w:rPr>
        <w:rFonts w:ascii="仿宋_GB2312" w:eastAsia="仿宋_GB2312"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3" w15:restartNumberingAfterBreak="0">
    <w:nsid w:val="7FCD41A3"/>
    <w:multiLevelType w:val="multilevel"/>
    <w:tmpl w:val="7FCD41A3"/>
    <w:lvl w:ilvl="0">
      <w:start w:val="1"/>
      <w:numFmt w:val="decimal"/>
      <w:lvlText w:val="%1"/>
      <w:lvlJc w:val="left"/>
      <w:pPr>
        <w:tabs>
          <w:tab w:val="left" w:pos="432"/>
        </w:tabs>
        <w:ind w:left="432" w:hanging="432"/>
      </w:pPr>
      <w:rPr>
        <w:rFonts w:hint="eastAsia"/>
      </w:rPr>
    </w:lvl>
    <w:lvl w:ilvl="1">
      <w:start w:val="1"/>
      <w:numFmt w:val="decimal"/>
      <w:lvlText w:val="%1.%2"/>
      <w:lvlJc w:val="left"/>
      <w:pPr>
        <w:tabs>
          <w:tab w:val="left" w:pos="576"/>
        </w:tabs>
        <w:ind w:left="576" w:hanging="576"/>
      </w:pPr>
      <w:rPr>
        <w:rFonts w:hint="eastAsia"/>
      </w:rPr>
    </w:lvl>
    <w:lvl w:ilvl="2">
      <w:start w:val="1"/>
      <w:numFmt w:val="decimal"/>
      <w:lvlText w:val="2.2.%3"/>
      <w:lvlJc w:val="left"/>
      <w:pPr>
        <w:tabs>
          <w:tab w:val="left" w:pos="720"/>
        </w:tabs>
        <w:ind w:left="720" w:hanging="720"/>
      </w:pPr>
      <w:rPr>
        <w:rFonts w:ascii="仿宋_GB2312" w:eastAsia="仿宋_GB2312" w:hint="eastAsia"/>
        <w:b w:val="0"/>
        <w:i w:val="0"/>
        <w:sz w:val="32"/>
        <w:szCs w:val="32"/>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num w:numId="1" w16cid:durableId="1348487370">
    <w:abstractNumId w:val="6"/>
  </w:num>
  <w:num w:numId="2" w16cid:durableId="2052456780">
    <w:abstractNumId w:val="24"/>
  </w:num>
  <w:num w:numId="3" w16cid:durableId="77990441">
    <w:abstractNumId w:val="58"/>
  </w:num>
  <w:num w:numId="4" w16cid:durableId="1324703545">
    <w:abstractNumId w:val="44"/>
  </w:num>
  <w:num w:numId="5" w16cid:durableId="194737063">
    <w:abstractNumId w:val="63"/>
  </w:num>
  <w:num w:numId="6" w16cid:durableId="2078900065">
    <w:abstractNumId w:val="18"/>
  </w:num>
  <w:num w:numId="7" w16cid:durableId="17884302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0904379">
    <w:abstractNumId w:val="30"/>
  </w:num>
  <w:num w:numId="9" w16cid:durableId="166140513">
    <w:abstractNumId w:val="35"/>
  </w:num>
  <w:num w:numId="10" w16cid:durableId="1462962821">
    <w:abstractNumId w:val="36"/>
  </w:num>
  <w:num w:numId="11" w16cid:durableId="1363898806">
    <w:abstractNumId w:val="14"/>
  </w:num>
  <w:num w:numId="12" w16cid:durableId="612439422">
    <w:abstractNumId w:val="43"/>
  </w:num>
  <w:num w:numId="13" w16cid:durableId="222714813">
    <w:abstractNumId w:val="40"/>
  </w:num>
  <w:num w:numId="14" w16cid:durableId="1586567676">
    <w:abstractNumId w:val="52"/>
  </w:num>
  <w:num w:numId="15" w16cid:durableId="506675836">
    <w:abstractNumId w:val="61"/>
  </w:num>
  <w:num w:numId="16" w16cid:durableId="1425373794">
    <w:abstractNumId w:val="57"/>
  </w:num>
  <w:num w:numId="17" w16cid:durableId="446124857">
    <w:abstractNumId w:val="49"/>
  </w:num>
  <w:num w:numId="18" w16cid:durableId="159657320">
    <w:abstractNumId w:val="25"/>
  </w:num>
  <w:num w:numId="19" w16cid:durableId="1607080481">
    <w:abstractNumId w:val="27"/>
  </w:num>
  <w:num w:numId="20" w16cid:durableId="449014260">
    <w:abstractNumId w:val="11"/>
  </w:num>
  <w:num w:numId="21" w16cid:durableId="1720863618">
    <w:abstractNumId w:val="59"/>
  </w:num>
  <w:num w:numId="22" w16cid:durableId="833957754">
    <w:abstractNumId w:val="4"/>
  </w:num>
  <w:num w:numId="23" w16cid:durableId="233780077">
    <w:abstractNumId w:val="19"/>
  </w:num>
  <w:num w:numId="24" w16cid:durableId="186141715">
    <w:abstractNumId w:val="55"/>
  </w:num>
  <w:num w:numId="25" w16cid:durableId="696934289">
    <w:abstractNumId w:val="9"/>
  </w:num>
  <w:num w:numId="26" w16cid:durableId="133567763">
    <w:abstractNumId w:val="22"/>
  </w:num>
  <w:num w:numId="27" w16cid:durableId="1312755037">
    <w:abstractNumId w:val="38"/>
  </w:num>
  <w:num w:numId="28" w16cid:durableId="1640450437">
    <w:abstractNumId w:val="21"/>
  </w:num>
  <w:num w:numId="29" w16cid:durableId="940795080">
    <w:abstractNumId w:val="51"/>
  </w:num>
  <w:num w:numId="30" w16cid:durableId="1389258325">
    <w:abstractNumId w:val="7"/>
  </w:num>
  <w:num w:numId="31" w16cid:durableId="1683781177">
    <w:abstractNumId w:val="45"/>
  </w:num>
  <w:num w:numId="32" w16cid:durableId="719983179">
    <w:abstractNumId w:val="13"/>
  </w:num>
  <w:num w:numId="33" w16cid:durableId="1936791907">
    <w:abstractNumId w:val="17"/>
  </w:num>
  <w:num w:numId="34" w16cid:durableId="609431283">
    <w:abstractNumId w:val="31"/>
  </w:num>
  <w:num w:numId="35" w16cid:durableId="1805390203">
    <w:abstractNumId w:val="5"/>
  </w:num>
  <w:num w:numId="36" w16cid:durableId="858155864">
    <w:abstractNumId w:val="42"/>
  </w:num>
  <w:num w:numId="37" w16cid:durableId="1632206441">
    <w:abstractNumId w:val="32"/>
  </w:num>
  <w:num w:numId="38" w16cid:durableId="608857622">
    <w:abstractNumId w:val="29"/>
  </w:num>
  <w:num w:numId="39" w16cid:durableId="1537086529">
    <w:abstractNumId w:val="46"/>
  </w:num>
  <w:num w:numId="40" w16cid:durableId="868759359">
    <w:abstractNumId w:val="10"/>
  </w:num>
  <w:num w:numId="41" w16cid:durableId="366679685">
    <w:abstractNumId w:val="56"/>
  </w:num>
  <w:num w:numId="42" w16cid:durableId="771316236">
    <w:abstractNumId w:val="3"/>
  </w:num>
  <w:num w:numId="43" w16cid:durableId="2017805148">
    <w:abstractNumId w:val="28"/>
  </w:num>
  <w:num w:numId="44" w16cid:durableId="217593080">
    <w:abstractNumId w:val="1"/>
  </w:num>
  <w:num w:numId="45" w16cid:durableId="1253513483">
    <w:abstractNumId w:val="60"/>
  </w:num>
  <w:num w:numId="46" w16cid:durableId="743718336">
    <w:abstractNumId w:val="8"/>
  </w:num>
  <w:num w:numId="47" w16cid:durableId="854610855">
    <w:abstractNumId w:val="12"/>
  </w:num>
  <w:num w:numId="48" w16cid:durableId="1938293331">
    <w:abstractNumId w:val="34"/>
  </w:num>
  <w:num w:numId="49" w16cid:durableId="372967037">
    <w:abstractNumId w:val="23"/>
  </w:num>
  <w:num w:numId="50" w16cid:durableId="666985286">
    <w:abstractNumId w:val="53"/>
  </w:num>
  <w:num w:numId="51" w16cid:durableId="1492985436">
    <w:abstractNumId w:val="20"/>
  </w:num>
  <w:num w:numId="52" w16cid:durableId="784547106">
    <w:abstractNumId w:val="15"/>
  </w:num>
  <w:num w:numId="53" w16cid:durableId="1895509354">
    <w:abstractNumId w:val="47"/>
  </w:num>
  <w:num w:numId="54" w16cid:durableId="871767657">
    <w:abstractNumId w:val="2"/>
  </w:num>
  <w:num w:numId="55" w16cid:durableId="1873297713">
    <w:abstractNumId w:val="41"/>
  </w:num>
  <w:num w:numId="56" w16cid:durableId="1905333165">
    <w:abstractNumId w:val="0"/>
  </w:num>
  <w:num w:numId="57" w16cid:durableId="1281179077">
    <w:abstractNumId w:val="39"/>
  </w:num>
  <w:num w:numId="58" w16cid:durableId="2118331847">
    <w:abstractNumId w:val="48"/>
  </w:num>
  <w:num w:numId="59" w16cid:durableId="1561482389">
    <w:abstractNumId w:val="33"/>
  </w:num>
  <w:num w:numId="60" w16cid:durableId="1202982089">
    <w:abstractNumId w:val="37"/>
  </w:num>
  <w:num w:numId="61" w16cid:durableId="123620940">
    <w:abstractNumId w:val="50"/>
  </w:num>
  <w:num w:numId="62" w16cid:durableId="1102536010">
    <w:abstractNumId w:val="26"/>
  </w:num>
  <w:num w:numId="63" w16cid:durableId="752747659">
    <w:abstractNumId w:val="54"/>
  </w:num>
  <w:num w:numId="64" w16cid:durableId="740250580">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mM4NDBmMTJkYzBiMThlMDhhNTE5MDJhNGRjYmJlZjQifQ=="/>
  </w:docVars>
  <w:rsids>
    <w:rsidRoot w:val="00F26598"/>
    <w:rsid w:val="DDB9B886"/>
    <w:rsid w:val="EFFF8890"/>
    <w:rsid w:val="FEAA690F"/>
    <w:rsid w:val="00000D4D"/>
    <w:rsid w:val="00001743"/>
    <w:rsid w:val="000035AC"/>
    <w:rsid w:val="00003C64"/>
    <w:rsid w:val="0000584C"/>
    <w:rsid w:val="00005EC6"/>
    <w:rsid w:val="000070D5"/>
    <w:rsid w:val="00010068"/>
    <w:rsid w:val="00010A9B"/>
    <w:rsid w:val="000134D2"/>
    <w:rsid w:val="00016DD0"/>
    <w:rsid w:val="00020BC7"/>
    <w:rsid w:val="000211DE"/>
    <w:rsid w:val="000222A2"/>
    <w:rsid w:val="00024013"/>
    <w:rsid w:val="00024660"/>
    <w:rsid w:val="00025EB5"/>
    <w:rsid w:val="00027ADB"/>
    <w:rsid w:val="00035638"/>
    <w:rsid w:val="00035DE0"/>
    <w:rsid w:val="00037F4F"/>
    <w:rsid w:val="0004052C"/>
    <w:rsid w:val="00043E18"/>
    <w:rsid w:val="00047F9B"/>
    <w:rsid w:val="000502F6"/>
    <w:rsid w:val="00051659"/>
    <w:rsid w:val="00052485"/>
    <w:rsid w:val="00052C92"/>
    <w:rsid w:val="000544F9"/>
    <w:rsid w:val="0005471D"/>
    <w:rsid w:val="00055AD6"/>
    <w:rsid w:val="0005629B"/>
    <w:rsid w:val="000632CF"/>
    <w:rsid w:val="00063DAB"/>
    <w:rsid w:val="00064261"/>
    <w:rsid w:val="00064283"/>
    <w:rsid w:val="00064428"/>
    <w:rsid w:val="0006560C"/>
    <w:rsid w:val="000673CD"/>
    <w:rsid w:val="000703AF"/>
    <w:rsid w:val="00070C6A"/>
    <w:rsid w:val="000736D4"/>
    <w:rsid w:val="0007537B"/>
    <w:rsid w:val="000756C7"/>
    <w:rsid w:val="00081C01"/>
    <w:rsid w:val="00082A3D"/>
    <w:rsid w:val="00082ED9"/>
    <w:rsid w:val="000836FF"/>
    <w:rsid w:val="00087603"/>
    <w:rsid w:val="00087D81"/>
    <w:rsid w:val="0009140E"/>
    <w:rsid w:val="00091B66"/>
    <w:rsid w:val="00093206"/>
    <w:rsid w:val="0009391D"/>
    <w:rsid w:val="00096075"/>
    <w:rsid w:val="000962C5"/>
    <w:rsid w:val="000963E2"/>
    <w:rsid w:val="00096BF1"/>
    <w:rsid w:val="000A0E95"/>
    <w:rsid w:val="000A18E6"/>
    <w:rsid w:val="000A1F57"/>
    <w:rsid w:val="000A3039"/>
    <w:rsid w:val="000A3B9C"/>
    <w:rsid w:val="000A4BB8"/>
    <w:rsid w:val="000A5151"/>
    <w:rsid w:val="000A6B6A"/>
    <w:rsid w:val="000A705B"/>
    <w:rsid w:val="000B1946"/>
    <w:rsid w:val="000B19FB"/>
    <w:rsid w:val="000B4860"/>
    <w:rsid w:val="000B4C3D"/>
    <w:rsid w:val="000B4F77"/>
    <w:rsid w:val="000B78DD"/>
    <w:rsid w:val="000C053A"/>
    <w:rsid w:val="000C0D33"/>
    <w:rsid w:val="000C109D"/>
    <w:rsid w:val="000C214D"/>
    <w:rsid w:val="000C29B8"/>
    <w:rsid w:val="000C2E3A"/>
    <w:rsid w:val="000C353F"/>
    <w:rsid w:val="000C36C9"/>
    <w:rsid w:val="000C4560"/>
    <w:rsid w:val="000C5639"/>
    <w:rsid w:val="000C6356"/>
    <w:rsid w:val="000D423C"/>
    <w:rsid w:val="000D45F9"/>
    <w:rsid w:val="000D62F9"/>
    <w:rsid w:val="000D6F86"/>
    <w:rsid w:val="000E081F"/>
    <w:rsid w:val="000E0DB8"/>
    <w:rsid w:val="000E2BDE"/>
    <w:rsid w:val="000E4853"/>
    <w:rsid w:val="000E54ED"/>
    <w:rsid w:val="000E6637"/>
    <w:rsid w:val="000E6773"/>
    <w:rsid w:val="000F0BB5"/>
    <w:rsid w:val="000F14D9"/>
    <w:rsid w:val="000F1855"/>
    <w:rsid w:val="000F38A1"/>
    <w:rsid w:val="000F4796"/>
    <w:rsid w:val="000F6041"/>
    <w:rsid w:val="000F79D2"/>
    <w:rsid w:val="00101F3B"/>
    <w:rsid w:val="00102256"/>
    <w:rsid w:val="00102494"/>
    <w:rsid w:val="001033E2"/>
    <w:rsid w:val="00103E21"/>
    <w:rsid w:val="0010566D"/>
    <w:rsid w:val="001060C7"/>
    <w:rsid w:val="00106249"/>
    <w:rsid w:val="00106E76"/>
    <w:rsid w:val="00106F45"/>
    <w:rsid w:val="00110649"/>
    <w:rsid w:val="00111AA9"/>
    <w:rsid w:val="00113111"/>
    <w:rsid w:val="001141C9"/>
    <w:rsid w:val="001156B2"/>
    <w:rsid w:val="00115BE2"/>
    <w:rsid w:val="00116762"/>
    <w:rsid w:val="00120153"/>
    <w:rsid w:val="00121833"/>
    <w:rsid w:val="001222F6"/>
    <w:rsid w:val="0012356E"/>
    <w:rsid w:val="001240CD"/>
    <w:rsid w:val="00132ACF"/>
    <w:rsid w:val="00132BA4"/>
    <w:rsid w:val="0013668E"/>
    <w:rsid w:val="0014031B"/>
    <w:rsid w:val="00140CFB"/>
    <w:rsid w:val="00141E06"/>
    <w:rsid w:val="00142F77"/>
    <w:rsid w:val="0014385D"/>
    <w:rsid w:val="001450B1"/>
    <w:rsid w:val="00146E31"/>
    <w:rsid w:val="00150E64"/>
    <w:rsid w:val="00151B18"/>
    <w:rsid w:val="001540AD"/>
    <w:rsid w:val="00155152"/>
    <w:rsid w:val="001554FF"/>
    <w:rsid w:val="00160D51"/>
    <w:rsid w:val="001646EC"/>
    <w:rsid w:val="0016477F"/>
    <w:rsid w:val="00164D6D"/>
    <w:rsid w:val="00173158"/>
    <w:rsid w:val="00173271"/>
    <w:rsid w:val="00177BCA"/>
    <w:rsid w:val="00177C2C"/>
    <w:rsid w:val="001851D5"/>
    <w:rsid w:val="00193994"/>
    <w:rsid w:val="001A0439"/>
    <w:rsid w:val="001A06EE"/>
    <w:rsid w:val="001A0C57"/>
    <w:rsid w:val="001A0F7B"/>
    <w:rsid w:val="001A1197"/>
    <w:rsid w:val="001A4145"/>
    <w:rsid w:val="001A4641"/>
    <w:rsid w:val="001B05E3"/>
    <w:rsid w:val="001B0FE0"/>
    <w:rsid w:val="001B14E7"/>
    <w:rsid w:val="001B18AF"/>
    <w:rsid w:val="001B3C4A"/>
    <w:rsid w:val="001B78D2"/>
    <w:rsid w:val="001C1AF4"/>
    <w:rsid w:val="001C3715"/>
    <w:rsid w:val="001C3778"/>
    <w:rsid w:val="001C4CF4"/>
    <w:rsid w:val="001C4D9A"/>
    <w:rsid w:val="001C70A2"/>
    <w:rsid w:val="001D208C"/>
    <w:rsid w:val="001D3917"/>
    <w:rsid w:val="001D39B7"/>
    <w:rsid w:val="001D5491"/>
    <w:rsid w:val="001D5E9E"/>
    <w:rsid w:val="001D66AB"/>
    <w:rsid w:val="001E2233"/>
    <w:rsid w:val="001E2D0A"/>
    <w:rsid w:val="001E3B2C"/>
    <w:rsid w:val="001E74D3"/>
    <w:rsid w:val="001F2918"/>
    <w:rsid w:val="001F33AE"/>
    <w:rsid w:val="001F3740"/>
    <w:rsid w:val="001F4399"/>
    <w:rsid w:val="001F46C1"/>
    <w:rsid w:val="001F633C"/>
    <w:rsid w:val="001F7220"/>
    <w:rsid w:val="001F774C"/>
    <w:rsid w:val="001F7C47"/>
    <w:rsid w:val="0020117C"/>
    <w:rsid w:val="00203E2E"/>
    <w:rsid w:val="002044AB"/>
    <w:rsid w:val="00212EAB"/>
    <w:rsid w:val="00214A08"/>
    <w:rsid w:val="00223E19"/>
    <w:rsid w:val="002247A9"/>
    <w:rsid w:val="00224829"/>
    <w:rsid w:val="00224BE5"/>
    <w:rsid w:val="00230A8D"/>
    <w:rsid w:val="002311BF"/>
    <w:rsid w:val="00233341"/>
    <w:rsid w:val="002338C7"/>
    <w:rsid w:val="00233B06"/>
    <w:rsid w:val="00233F21"/>
    <w:rsid w:val="00233FBD"/>
    <w:rsid w:val="002347D0"/>
    <w:rsid w:val="00235389"/>
    <w:rsid w:val="00236703"/>
    <w:rsid w:val="00236796"/>
    <w:rsid w:val="00236A9E"/>
    <w:rsid w:val="002401C6"/>
    <w:rsid w:val="002414A8"/>
    <w:rsid w:val="00242013"/>
    <w:rsid w:val="002433AD"/>
    <w:rsid w:val="00243600"/>
    <w:rsid w:val="00244147"/>
    <w:rsid w:val="00244BF9"/>
    <w:rsid w:val="00247826"/>
    <w:rsid w:val="00250129"/>
    <w:rsid w:val="0025195C"/>
    <w:rsid w:val="00252802"/>
    <w:rsid w:val="00254D60"/>
    <w:rsid w:val="00256142"/>
    <w:rsid w:val="002570DC"/>
    <w:rsid w:val="00257DAE"/>
    <w:rsid w:val="00260120"/>
    <w:rsid w:val="00260B40"/>
    <w:rsid w:val="002612EF"/>
    <w:rsid w:val="00261CCC"/>
    <w:rsid w:val="00263734"/>
    <w:rsid w:val="00263DF5"/>
    <w:rsid w:val="002640AE"/>
    <w:rsid w:val="00267F07"/>
    <w:rsid w:val="00271CB5"/>
    <w:rsid w:val="0027439D"/>
    <w:rsid w:val="002745B1"/>
    <w:rsid w:val="002750E5"/>
    <w:rsid w:val="002773B8"/>
    <w:rsid w:val="00277C10"/>
    <w:rsid w:val="00280FAE"/>
    <w:rsid w:val="00291966"/>
    <w:rsid w:val="00292CB2"/>
    <w:rsid w:val="00292D1A"/>
    <w:rsid w:val="002A15C4"/>
    <w:rsid w:val="002A2805"/>
    <w:rsid w:val="002A306E"/>
    <w:rsid w:val="002A36F5"/>
    <w:rsid w:val="002A66DC"/>
    <w:rsid w:val="002B1C72"/>
    <w:rsid w:val="002B3BEF"/>
    <w:rsid w:val="002B3F6F"/>
    <w:rsid w:val="002B4976"/>
    <w:rsid w:val="002B5EF5"/>
    <w:rsid w:val="002B76EE"/>
    <w:rsid w:val="002C03FD"/>
    <w:rsid w:val="002C0AB5"/>
    <w:rsid w:val="002C25ED"/>
    <w:rsid w:val="002C2A81"/>
    <w:rsid w:val="002C36EC"/>
    <w:rsid w:val="002C49C3"/>
    <w:rsid w:val="002C59E6"/>
    <w:rsid w:val="002C6346"/>
    <w:rsid w:val="002C6981"/>
    <w:rsid w:val="002C6D86"/>
    <w:rsid w:val="002D2211"/>
    <w:rsid w:val="002D4141"/>
    <w:rsid w:val="002D4A5C"/>
    <w:rsid w:val="002D5C96"/>
    <w:rsid w:val="002D60E8"/>
    <w:rsid w:val="002E3791"/>
    <w:rsid w:val="002F0B0B"/>
    <w:rsid w:val="002F111E"/>
    <w:rsid w:val="002F1CC0"/>
    <w:rsid w:val="002F4F9C"/>
    <w:rsid w:val="002F6AD7"/>
    <w:rsid w:val="002F7CEF"/>
    <w:rsid w:val="00301BA0"/>
    <w:rsid w:val="00301BC5"/>
    <w:rsid w:val="003027FE"/>
    <w:rsid w:val="00302FE8"/>
    <w:rsid w:val="00304EA0"/>
    <w:rsid w:val="00305436"/>
    <w:rsid w:val="00305EFB"/>
    <w:rsid w:val="00311524"/>
    <w:rsid w:val="00312F79"/>
    <w:rsid w:val="00315B73"/>
    <w:rsid w:val="0031662D"/>
    <w:rsid w:val="00320CCD"/>
    <w:rsid w:val="003219C1"/>
    <w:rsid w:val="00322A8F"/>
    <w:rsid w:val="00323A10"/>
    <w:rsid w:val="00323B02"/>
    <w:rsid w:val="00323CE3"/>
    <w:rsid w:val="003247CA"/>
    <w:rsid w:val="003252EF"/>
    <w:rsid w:val="003322F1"/>
    <w:rsid w:val="00332CA4"/>
    <w:rsid w:val="003332C5"/>
    <w:rsid w:val="00335F79"/>
    <w:rsid w:val="0033740E"/>
    <w:rsid w:val="00341AA1"/>
    <w:rsid w:val="00343714"/>
    <w:rsid w:val="003448DB"/>
    <w:rsid w:val="00345C70"/>
    <w:rsid w:val="00345C78"/>
    <w:rsid w:val="00345E2E"/>
    <w:rsid w:val="0035145F"/>
    <w:rsid w:val="0035233C"/>
    <w:rsid w:val="003544AC"/>
    <w:rsid w:val="0035609E"/>
    <w:rsid w:val="00361E4E"/>
    <w:rsid w:val="00363392"/>
    <w:rsid w:val="00363D39"/>
    <w:rsid w:val="00364550"/>
    <w:rsid w:val="0036615D"/>
    <w:rsid w:val="00370B5E"/>
    <w:rsid w:val="00372C1D"/>
    <w:rsid w:val="0037434C"/>
    <w:rsid w:val="003744EE"/>
    <w:rsid w:val="003767D1"/>
    <w:rsid w:val="003815A7"/>
    <w:rsid w:val="0038295C"/>
    <w:rsid w:val="00383AFB"/>
    <w:rsid w:val="00383C6E"/>
    <w:rsid w:val="00384CFB"/>
    <w:rsid w:val="00393065"/>
    <w:rsid w:val="00394C70"/>
    <w:rsid w:val="00395A9A"/>
    <w:rsid w:val="00396009"/>
    <w:rsid w:val="003963F1"/>
    <w:rsid w:val="00397B7E"/>
    <w:rsid w:val="003A00C6"/>
    <w:rsid w:val="003A1EBF"/>
    <w:rsid w:val="003A31A1"/>
    <w:rsid w:val="003A32E3"/>
    <w:rsid w:val="003B0070"/>
    <w:rsid w:val="003B220A"/>
    <w:rsid w:val="003B2C97"/>
    <w:rsid w:val="003B4B98"/>
    <w:rsid w:val="003C022E"/>
    <w:rsid w:val="003C0397"/>
    <w:rsid w:val="003C0B44"/>
    <w:rsid w:val="003C5021"/>
    <w:rsid w:val="003C5422"/>
    <w:rsid w:val="003C621E"/>
    <w:rsid w:val="003C6EBF"/>
    <w:rsid w:val="003D3474"/>
    <w:rsid w:val="003D42E3"/>
    <w:rsid w:val="003E177E"/>
    <w:rsid w:val="003E399A"/>
    <w:rsid w:val="003E4C19"/>
    <w:rsid w:val="003E52E5"/>
    <w:rsid w:val="003E6583"/>
    <w:rsid w:val="003F4B8A"/>
    <w:rsid w:val="003F58D2"/>
    <w:rsid w:val="003F74F9"/>
    <w:rsid w:val="003F7CE2"/>
    <w:rsid w:val="003F7EC2"/>
    <w:rsid w:val="004000EB"/>
    <w:rsid w:val="00402311"/>
    <w:rsid w:val="00402A79"/>
    <w:rsid w:val="00402C49"/>
    <w:rsid w:val="00403622"/>
    <w:rsid w:val="00404D4C"/>
    <w:rsid w:val="00405679"/>
    <w:rsid w:val="004060DA"/>
    <w:rsid w:val="0041014B"/>
    <w:rsid w:val="00411CA5"/>
    <w:rsid w:val="00412F04"/>
    <w:rsid w:val="00413503"/>
    <w:rsid w:val="004228B3"/>
    <w:rsid w:val="00430364"/>
    <w:rsid w:val="004309FB"/>
    <w:rsid w:val="00430D5F"/>
    <w:rsid w:val="00430DC7"/>
    <w:rsid w:val="00431807"/>
    <w:rsid w:val="00431DC5"/>
    <w:rsid w:val="0043567E"/>
    <w:rsid w:val="00440014"/>
    <w:rsid w:val="00442272"/>
    <w:rsid w:val="00444A1E"/>
    <w:rsid w:val="00446A82"/>
    <w:rsid w:val="004544C6"/>
    <w:rsid w:val="004571B9"/>
    <w:rsid w:val="00457C88"/>
    <w:rsid w:val="004627AF"/>
    <w:rsid w:val="00464CA7"/>
    <w:rsid w:val="004744D9"/>
    <w:rsid w:val="00476828"/>
    <w:rsid w:val="00476D17"/>
    <w:rsid w:val="00477D7E"/>
    <w:rsid w:val="00483A37"/>
    <w:rsid w:val="00483FE5"/>
    <w:rsid w:val="00484159"/>
    <w:rsid w:val="004909F7"/>
    <w:rsid w:val="0049258A"/>
    <w:rsid w:val="004955BF"/>
    <w:rsid w:val="004957C3"/>
    <w:rsid w:val="004A0F67"/>
    <w:rsid w:val="004A13DA"/>
    <w:rsid w:val="004A3351"/>
    <w:rsid w:val="004A340C"/>
    <w:rsid w:val="004A68E9"/>
    <w:rsid w:val="004B022A"/>
    <w:rsid w:val="004B0CCB"/>
    <w:rsid w:val="004B2EF8"/>
    <w:rsid w:val="004B41FC"/>
    <w:rsid w:val="004B4449"/>
    <w:rsid w:val="004B621D"/>
    <w:rsid w:val="004B67E5"/>
    <w:rsid w:val="004C2C84"/>
    <w:rsid w:val="004C3C55"/>
    <w:rsid w:val="004C506B"/>
    <w:rsid w:val="004C5F89"/>
    <w:rsid w:val="004C7394"/>
    <w:rsid w:val="004D357F"/>
    <w:rsid w:val="004D36CA"/>
    <w:rsid w:val="004D5758"/>
    <w:rsid w:val="004D7185"/>
    <w:rsid w:val="004D7ACF"/>
    <w:rsid w:val="004D7B2A"/>
    <w:rsid w:val="004E3167"/>
    <w:rsid w:val="004E57DD"/>
    <w:rsid w:val="004E6842"/>
    <w:rsid w:val="004E7BA6"/>
    <w:rsid w:val="004E7BE8"/>
    <w:rsid w:val="004F101C"/>
    <w:rsid w:val="004F15D6"/>
    <w:rsid w:val="004F1FCA"/>
    <w:rsid w:val="004F30C2"/>
    <w:rsid w:val="004F428A"/>
    <w:rsid w:val="004F6389"/>
    <w:rsid w:val="004F65C1"/>
    <w:rsid w:val="00504E3E"/>
    <w:rsid w:val="00507A47"/>
    <w:rsid w:val="00510088"/>
    <w:rsid w:val="00511A3B"/>
    <w:rsid w:val="0051382C"/>
    <w:rsid w:val="00514348"/>
    <w:rsid w:val="00516D2F"/>
    <w:rsid w:val="005208DF"/>
    <w:rsid w:val="00521980"/>
    <w:rsid w:val="0052264E"/>
    <w:rsid w:val="00522BDC"/>
    <w:rsid w:val="005253BF"/>
    <w:rsid w:val="00526F07"/>
    <w:rsid w:val="00527C30"/>
    <w:rsid w:val="00530948"/>
    <w:rsid w:val="0053182B"/>
    <w:rsid w:val="00532254"/>
    <w:rsid w:val="00532428"/>
    <w:rsid w:val="005342DA"/>
    <w:rsid w:val="005344BC"/>
    <w:rsid w:val="00540862"/>
    <w:rsid w:val="00540BED"/>
    <w:rsid w:val="00540FF8"/>
    <w:rsid w:val="00541923"/>
    <w:rsid w:val="005449C2"/>
    <w:rsid w:val="00546F05"/>
    <w:rsid w:val="005514EE"/>
    <w:rsid w:val="00552B5F"/>
    <w:rsid w:val="00554ACD"/>
    <w:rsid w:val="00556241"/>
    <w:rsid w:val="00557C14"/>
    <w:rsid w:val="00561818"/>
    <w:rsid w:val="00566B31"/>
    <w:rsid w:val="005673B9"/>
    <w:rsid w:val="00571064"/>
    <w:rsid w:val="0057227B"/>
    <w:rsid w:val="005731AA"/>
    <w:rsid w:val="00581D1E"/>
    <w:rsid w:val="00583649"/>
    <w:rsid w:val="005839EF"/>
    <w:rsid w:val="005848D2"/>
    <w:rsid w:val="0058628B"/>
    <w:rsid w:val="0058672D"/>
    <w:rsid w:val="00591AED"/>
    <w:rsid w:val="00592056"/>
    <w:rsid w:val="00592625"/>
    <w:rsid w:val="00593311"/>
    <w:rsid w:val="00595060"/>
    <w:rsid w:val="005961E0"/>
    <w:rsid w:val="005A335D"/>
    <w:rsid w:val="005A375F"/>
    <w:rsid w:val="005A46F3"/>
    <w:rsid w:val="005A7C77"/>
    <w:rsid w:val="005B03D8"/>
    <w:rsid w:val="005B1588"/>
    <w:rsid w:val="005B2DDA"/>
    <w:rsid w:val="005B39D6"/>
    <w:rsid w:val="005B3C0A"/>
    <w:rsid w:val="005C2252"/>
    <w:rsid w:val="005C2627"/>
    <w:rsid w:val="005C3F16"/>
    <w:rsid w:val="005C6512"/>
    <w:rsid w:val="005C6E23"/>
    <w:rsid w:val="005C7394"/>
    <w:rsid w:val="005C7922"/>
    <w:rsid w:val="005C7FE7"/>
    <w:rsid w:val="005D0E69"/>
    <w:rsid w:val="005D0F1D"/>
    <w:rsid w:val="005D1730"/>
    <w:rsid w:val="005D183F"/>
    <w:rsid w:val="005D50FF"/>
    <w:rsid w:val="005E0A60"/>
    <w:rsid w:val="005E0C5E"/>
    <w:rsid w:val="005E1A7D"/>
    <w:rsid w:val="005E1C28"/>
    <w:rsid w:val="005E2AAB"/>
    <w:rsid w:val="005E5DD8"/>
    <w:rsid w:val="005F0F6F"/>
    <w:rsid w:val="005F0FA8"/>
    <w:rsid w:val="005F3111"/>
    <w:rsid w:val="005F5600"/>
    <w:rsid w:val="005F6A6B"/>
    <w:rsid w:val="006003F1"/>
    <w:rsid w:val="00600D2E"/>
    <w:rsid w:val="00601EB9"/>
    <w:rsid w:val="00604B2F"/>
    <w:rsid w:val="00605D34"/>
    <w:rsid w:val="00605EEF"/>
    <w:rsid w:val="00606567"/>
    <w:rsid w:val="00610E92"/>
    <w:rsid w:val="00614412"/>
    <w:rsid w:val="006168D2"/>
    <w:rsid w:val="00616BB6"/>
    <w:rsid w:val="00621857"/>
    <w:rsid w:val="00621B32"/>
    <w:rsid w:val="00621C22"/>
    <w:rsid w:val="00623438"/>
    <w:rsid w:val="00623739"/>
    <w:rsid w:val="00627712"/>
    <w:rsid w:val="006302B7"/>
    <w:rsid w:val="00630DF4"/>
    <w:rsid w:val="00631FF7"/>
    <w:rsid w:val="006358E7"/>
    <w:rsid w:val="00642E92"/>
    <w:rsid w:val="006432CE"/>
    <w:rsid w:val="00647295"/>
    <w:rsid w:val="00652467"/>
    <w:rsid w:val="00656B8F"/>
    <w:rsid w:val="00656D53"/>
    <w:rsid w:val="006575F4"/>
    <w:rsid w:val="006578D1"/>
    <w:rsid w:val="00657B2A"/>
    <w:rsid w:val="00660914"/>
    <w:rsid w:val="00661634"/>
    <w:rsid w:val="00661FB3"/>
    <w:rsid w:val="006676CC"/>
    <w:rsid w:val="00672B33"/>
    <w:rsid w:val="006743CD"/>
    <w:rsid w:val="00677055"/>
    <w:rsid w:val="00677CC2"/>
    <w:rsid w:val="00682870"/>
    <w:rsid w:val="00684D2E"/>
    <w:rsid w:val="00685565"/>
    <w:rsid w:val="00685B9A"/>
    <w:rsid w:val="00695437"/>
    <w:rsid w:val="006955C3"/>
    <w:rsid w:val="00696564"/>
    <w:rsid w:val="006A1335"/>
    <w:rsid w:val="006A437D"/>
    <w:rsid w:val="006A5C36"/>
    <w:rsid w:val="006B3E23"/>
    <w:rsid w:val="006C0728"/>
    <w:rsid w:val="006C156E"/>
    <w:rsid w:val="006C4B6C"/>
    <w:rsid w:val="006C6D15"/>
    <w:rsid w:val="006D349B"/>
    <w:rsid w:val="006D5D1A"/>
    <w:rsid w:val="006D721F"/>
    <w:rsid w:val="006E1B64"/>
    <w:rsid w:val="006E1FF5"/>
    <w:rsid w:val="006E278E"/>
    <w:rsid w:val="006E5412"/>
    <w:rsid w:val="006E5E28"/>
    <w:rsid w:val="006F10B1"/>
    <w:rsid w:val="006F2B36"/>
    <w:rsid w:val="006F2E4C"/>
    <w:rsid w:val="006F3A19"/>
    <w:rsid w:val="006F490B"/>
    <w:rsid w:val="006F59B1"/>
    <w:rsid w:val="006F7EBE"/>
    <w:rsid w:val="00700D52"/>
    <w:rsid w:val="007064AA"/>
    <w:rsid w:val="00706BDA"/>
    <w:rsid w:val="00707DC1"/>
    <w:rsid w:val="0071141D"/>
    <w:rsid w:val="00711A7F"/>
    <w:rsid w:val="00714136"/>
    <w:rsid w:val="007221AA"/>
    <w:rsid w:val="00725EBF"/>
    <w:rsid w:val="00726109"/>
    <w:rsid w:val="00726244"/>
    <w:rsid w:val="00732826"/>
    <w:rsid w:val="007331DC"/>
    <w:rsid w:val="007359F0"/>
    <w:rsid w:val="0073660A"/>
    <w:rsid w:val="00736648"/>
    <w:rsid w:val="00736806"/>
    <w:rsid w:val="00743D77"/>
    <w:rsid w:val="0074646E"/>
    <w:rsid w:val="00750099"/>
    <w:rsid w:val="00751419"/>
    <w:rsid w:val="007539EC"/>
    <w:rsid w:val="00754F0D"/>
    <w:rsid w:val="00756193"/>
    <w:rsid w:val="00756525"/>
    <w:rsid w:val="0075762C"/>
    <w:rsid w:val="00757BDA"/>
    <w:rsid w:val="00760912"/>
    <w:rsid w:val="00762F13"/>
    <w:rsid w:val="007635C1"/>
    <w:rsid w:val="00763736"/>
    <w:rsid w:val="007642EE"/>
    <w:rsid w:val="00766450"/>
    <w:rsid w:val="00766A36"/>
    <w:rsid w:val="007709E8"/>
    <w:rsid w:val="00770A3B"/>
    <w:rsid w:val="00771F17"/>
    <w:rsid w:val="00773728"/>
    <w:rsid w:val="00774090"/>
    <w:rsid w:val="00775E4E"/>
    <w:rsid w:val="00776EF9"/>
    <w:rsid w:val="0078174A"/>
    <w:rsid w:val="00783534"/>
    <w:rsid w:val="00783626"/>
    <w:rsid w:val="00783E0D"/>
    <w:rsid w:val="00784580"/>
    <w:rsid w:val="00790D0B"/>
    <w:rsid w:val="007912FC"/>
    <w:rsid w:val="00791700"/>
    <w:rsid w:val="00793ED5"/>
    <w:rsid w:val="007962C3"/>
    <w:rsid w:val="00797649"/>
    <w:rsid w:val="007A0233"/>
    <w:rsid w:val="007A3650"/>
    <w:rsid w:val="007A3A66"/>
    <w:rsid w:val="007A3ADC"/>
    <w:rsid w:val="007A53B1"/>
    <w:rsid w:val="007A594B"/>
    <w:rsid w:val="007A68C1"/>
    <w:rsid w:val="007A7274"/>
    <w:rsid w:val="007A7E6B"/>
    <w:rsid w:val="007B0E89"/>
    <w:rsid w:val="007B2ABC"/>
    <w:rsid w:val="007B3C87"/>
    <w:rsid w:val="007B5A0B"/>
    <w:rsid w:val="007B5E7B"/>
    <w:rsid w:val="007B6BDD"/>
    <w:rsid w:val="007B6FEA"/>
    <w:rsid w:val="007B7260"/>
    <w:rsid w:val="007B7A6B"/>
    <w:rsid w:val="007C29AB"/>
    <w:rsid w:val="007C365B"/>
    <w:rsid w:val="007C6580"/>
    <w:rsid w:val="007D24B9"/>
    <w:rsid w:val="007D42F0"/>
    <w:rsid w:val="007D6102"/>
    <w:rsid w:val="007D7B75"/>
    <w:rsid w:val="007D7CEF"/>
    <w:rsid w:val="007E1E24"/>
    <w:rsid w:val="007E27D5"/>
    <w:rsid w:val="007E447C"/>
    <w:rsid w:val="007F0434"/>
    <w:rsid w:val="007F0C68"/>
    <w:rsid w:val="007F5F12"/>
    <w:rsid w:val="00802606"/>
    <w:rsid w:val="008041D5"/>
    <w:rsid w:val="00805D5D"/>
    <w:rsid w:val="008064A2"/>
    <w:rsid w:val="00806D5D"/>
    <w:rsid w:val="00807F8B"/>
    <w:rsid w:val="008119D8"/>
    <w:rsid w:val="00811DA5"/>
    <w:rsid w:val="00812D40"/>
    <w:rsid w:val="0081356F"/>
    <w:rsid w:val="0081424F"/>
    <w:rsid w:val="00814521"/>
    <w:rsid w:val="008149BA"/>
    <w:rsid w:val="0081538D"/>
    <w:rsid w:val="008153DF"/>
    <w:rsid w:val="00816C4B"/>
    <w:rsid w:val="00817515"/>
    <w:rsid w:val="008175B1"/>
    <w:rsid w:val="008176B8"/>
    <w:rsid w:val="00823C94"/>
    <w:rsid w:val="00823E27"/>
    <w:rsid w:val="00826786"/>
    <w:rsid w:val="00830536"/>
    <w:rsid w:val="0083157C"/>
    <w:rsid w:val="00832D3E"/>
    <w:rsid w:val="00833A85"/>
    <w:rsid w:val="00834DE3"/>
    <w:rsid w:val="00837AB7"/>
    <w:rsid w:val="00837E77"/>
    <w:rsid w:val="00841DA2"/>
    <w:rsid w:val="00843232"/>
    <w:rsid w:val="008445E8"/>
    <w:rsid w:val="00845792"/>
    <w:rsid w:val="00845F33"/>
    <w:rsid w:val="00853212"/>
    <w:rsid w:val="00853A36"/>
    <w:rsid w:val="008550E4"/>
    <w:rsid w:val="00855AEB"/>
    <w:rsid w:val="008575FF"/>
    <w:rsid w:val="00857A00"/>
    <w:rsid w:val="008609DF"/>
    <w:rsid w:val="00861AD9"/>
    <w:rsid w:val="00862072"/>
    <w:rsid w:val="00863280"/>
    <w:rsid w:val="0086393C"/>
    <w:rsid w:val="00864D53"/>
    <w:rsid w:val="00866D73"/>
    <w:rsid w:val="00867604"/>
    <w:rsid w:val="00867D6D"/>
    <w:rsid w:val="00872522"/>
    <w:rsid w:val="008770C2"/>
    <w:rsid w:val="00877E4C"/>
    <w:rsid w:val="00881C1E"/>
    <w:rsid w:val="008868A2"/>
    <w:rsid w:val="00887C88"/>
    <w:rsid w:val="00890E35"/>
    <w:rsid w:val="00891EE6"/>
    <w:rsid w:val="00893E48"/>
    <w:rsid w:val="008949AC"/>
    <w:rsid w:val="00895513"/>
    <w:rsid w:val="00895639"/>
    <w:rsid w:val="008975A4"/>
    <w:rsid w:val="008A1105"/>
    <w:rsid w:val="008A3090"/>
    <w:rsid w:val="008A39EA"/>
    <w:rsid w:val="008A4DD6"/>
    <w:rsid w:val="008A6C18"/>
    <w:rsid w:val="008A6CB5"/>
    <w:rsid w:val="008A6E68"/>
    <w:rsid w:val="008B2A79"/>
    <w:rsid w:val="008B32CF"/>
    <w:rsid w:val="008C0B59"/>
    <w:rsid w:val="008C2531"/>
    <w:rsid w:val="008C2705"/>
    <w:rsid w:val="008C2B98"/>
    <w:rsid w:val="008C3B0C"/>
    <w:rsid w:val="008C3E59"/>
    <w:rsid w:val="008C4957"/>
    <w:rsid w:val="008C6068"/>
    <w:rsid w:val="008C7EDD"/>
    <w:rsid w:val="008D17DD"/>
    <w:rsid w:val="008D59B3"/>
    <w:rsid w:val="008E0F3A"/>
    <w:rsid w:val="008E1491"/>
    <w:rsid w:val="008E172F"/>
    <w:rsid w:val="008E38E3"/>
    <w:rsid w:val="008F1097"/>
    <w:rsid w:val="008F1CB0"/>
    <w:rsid w:val="008F220A"/>
    <w:rsid w:val="008F482B"/>
    <w:rsid w:val="008F6592"/>
    <w:rsid w:val="008F6F6D"/>
    <w:rsid w:val="00900715"/>
    <w:rsid w:val="00901C83"/>
    <w:rsid w:val="009020CF"/>
    <w:rsid w:val="00902E00"/>
    <w:rsid w:val="00902EA4"/>
    <w:rsid w:val="00904BDD"/>
    <w:rsid w:val="00904C40"/>
    <w:rsid w:val="00905856"/>
    <w:rsid w:val="00907C3F"/>
    <w:rsid w:val="00910C98"/>
    <w:rsid w:val="00910FC6"/>
    <w:rsid w:val="0091100B"/>
    <w:rsid w:val="00912549"/>
    <w:rsid w:val="00924E03"/>
    <w:rsid w:val="009256CE"/>
    <w:rsid w:val="00926758"/>
    <w:rsid w:val="009269E7"/>
    <w:rsid w:val="0093239A"/>
    <w:rsid w:val="00933071"/>
    <w:rsid w:val="00933161"/>
    <w:rsid w:val="0093379B"/>
    <w:rsid w:val="00934D6D"/>
    <w:rsid w:val="00937251"/>
    <w:rsid w:val="009429E2"/>
    <w:rsid w:val="00942E94"/>
    <w:rsid w:val="00945510"/>
    <w:rsid w:val="0094593D"/>
    <w:rsid w:val="009470B1"/>
    <w:rsid w:val="00950D20"/>
    <w:rsid w:val="00951718"/>
    <w:rsid w:val="009534BD"/>
    <w:rsid w:val="00953F4B"/>
    <w:rsid w:val="009550C1"/>
    <w:rsid w:val="00955BBC"/>
    <w:rsid w:val="009560BB"/>
    <w:rsid w:val="009568A1"/>
    <w:rsid w:val="00957CAA"/>
    <w:rsid w:val="00961312"/>
    <w:rsid w:val="00962DA6"/>
    <w:rsid w:val="0096327A"/>
    <w:rsid w:val="00964F2F"/>
    <w:rsid w:val="009660E0"/>
    <w:rsid w:val="00966D06"/>
    <w:rsid w:val="00967E1D"/>
    <w:rsid w:val="00971CE8"/>
    <w:rsid w:val="009721AE"/>
    <w:rsid w:val="00972897"/>
    <w:rsid w:val="00972F49"/>
    <w:rsid w:val="0097369C"/>
    <w:rsid w:val="009738E4"/>
    <w:rsid w:val="00973B25"/>
    <w:rsid w:val="0097527D"/>
    <w:rsid w:val="00975914"/>
    <w:rsid w:val="00975C37"/>
    <w:rsid w:val="00976441"/>
    <w:rsid w:val="0097668A"/>
    <w:rsid w:val="00976E9D"/>
    <w:rsid w:val="009777E7"/>
    <w:rsid w:val="009818C9"/>
    <w:rsid w:val="009844D2"/>
    <w:rsid w:val="0099002B"/>
    <w:rsid w:val="00991371"/>
    <w:rsid w:val="009913F4"/>
    <w:rsid w:val="00994FF8"/>
    <w:rsid w:val="00995863"/>
    <w:rsid w:val="009962D0"/>
    <w:rsid w:val="00996B89"/>
    <w:rsid w:val="00997EAA"/>
    <w:rsid w:val="009A0028"/>
    <w:rsid w:val="009A00D4"/>
    <w:rsid w:val="009A0F69"/>
    <w:rsid w:val="009A5ECC"/>
    <w:rsid w:val="009A6924"/>
    <w:rsid w:val="009B1022"/>
    <w:rsid w:val="009B4D37"/>
    <w:rsid w:val="009B540E"/>
    <w:rsid w:val="009B5D57"/>
    <w:rsid w:val="009B5DCB"/>
    <w:rsid w:val="009B6FFA"/>
    <w:rsid w:val="009C03B0"/>
    <w:rsid w:val="009C0D1A"/>
    <w:rsid w:val="009C105B"/>
    <w:rsid w:val="009C190A"/>
    <w:rsid w:val="009C1FE6"/>
    <w:rsid w:val="009C2852"/>
    <w:rsid w:val="009C35FB"/>
    <w:rsid w:val="009C5350"/>
    <w:rsid w:val="009C67AE"/>
    <w:rsid w:val="009C6B90"/>
    <w:rsid w:val="009C78F3"/>
    <w:rsid w:val="009C7EA4"/>
    <w:rsid w:val="009D00BF"/>
    <w:rsid w:val="009D550C"/>
    <w:rsid w:val="009D6AA5"/>
    <w:rsid w:val="009D7165"/>
    <w:rsid w:val="009E0E0E"/>
    <w:rsid w:val="009E4CD5"/>
    <w:rsid w:val="009E5400"/>
    <w:rsid w:val="009E5D16"/>
    <w:rsid w:val="009E775E"/>
    <w:rsid w:val="009F2FC1"/>
    <w:rsid w:val="009F5957"/>
    <w:rsid w:val="00A00090"/>
    <w:rsid w:val="00A01A02"/>
    <w:rsid w:val="00A023BF"/>
    <w:rsid w:val="00A02F12"/>
    <w:rsid w:val="00A03850"/>
    <w:rsid w:val="00A07412"/>
    <w:rsid w:val="00A16B9B"/>
    <w:rsid w:val="00A17076"/>
    <w:rsid w:val="00A204D3"/>
    <w:rsid w:val="00A209F7"/>
    <w:rsid w:val="00A20B0D"/>
    <w:rsid w:val="00A220D8"/>
    <w:rsid w:val="00A22605"/>
    <w:rsid w:val="00A22A26"/>
    <w:rsid w:val="00A270D6"/>
    <w:rsid w:val="00A27124"/>
    <w:rsid w:val="00A309EB"/>
    <w:rsid w:val="00A33326"/>
    <w:rsid w:val="00A3371E"/>
    <w:rsid w:val="00A37817"/>
    <w:rsid w:val="00A3793E"/>
    <w:rsid w:val="00A40DA7"/>
    <w:rsid w:val="00A4300C"/>
    <w:rsid w:val="00A461A3"/>
    <w:rsid w:val="00A5096D"/>
    <w:rsid w:val="00A52E3A"/>
    <w:rsid w:val="00A54173"/>
    <w:rsid w:val="00A55554"/>
    <w:rsid w:val="00A56BFB"/>
    <w:rsid w:val="00A60FCF"/>
    <w:rsid w:val="00A61A7F"/>
    <w:rsid w:val="00A62FF3"/>
    <w:rsid w:val="00A638BD"/>
    <w:rsid w:val="00A65E82"/>
    <w:rsid w:val="00A66BB5"/>
    <w:rsid w:val="00A67427"/>
    <w:rsid w:val="00A703D7"/>
    <w:rsid w:val="00A72618"/>
    <w:rsid w:val="00A77820"/>
    <w:rsid w:val="00A77C1D"/>
    <w:rsid w:val="00A80B6E"/>
    <w:rsid w:val="00A81CB9"/>
    <w:rsid w:val="00A82106"/>
    <w:rsid w:val="00A82ACB"/>
    <w:rsid w:val="00A85491"/>
    <w:rsid w:val="00A85516"/>
    <w:rsid w:val="00A85D4F"/>
    <w:rsid w:val="00A904FF"/>
    <w:rsid w:val="00A93A85"/>
    <w:rsid w:val="00AA07C3"/>
    <w:rsid w:val="00AA5576"/>
    <w:rsid w:val="00AA5ADE"/>
    <w:rsid w:val="00AA7421"/>
    <w:rsid w:val="00AB0F9F"/>
    <w:rsid w:val="00AB1151"/>
    <w:rsid w:val="00AB1603"/>
    <w:rsid w:val="00AB4316"/>
    <w:rsid w:val="00AB5B01"/>
    <w:rsid w:val="00AB5FA3"/>
    <w:rsid w:val="00AB7994"/>
    <w:rsid w:val="00AC005B"/>
    <w:rsid w:val="00AC2EB3"/>
    <w:rsid w:val="00AC325C"/>
    <w:rsid w:val="00AC3B5E"/>
    <w:rsid w:val="00AC40D8"/>
    <w:rsid w:val="00AC525C"/>
    <w:rsid w:val="00AC5A9E"/>
    <w:rsid w:val="00AC7155"/>
    <w:rsid w:val="00AD1A62"/>
    <w:rsid w:val="00AD2E6E"/>
    <w:rsid w:val="00AD7375"/>
    <w:rsid w:val="00AD7D3C"/>
    <w:rsid w:val="00AE0219"/>
    <w:rsid w:val="00AE052D"/>
    <w:rsid w:val="00AE08CA"/>
    <w:rsid w:val="00AE15D4"/>
    <w:rsid w:val="00AE7EB1"/>
    <w:rsid w:val="00AF03BD"/>
    <w:rsid w:val="00AF33E7"/>
    <w:rsid w:val="00AF3673"/>
    <w:rsid w:val="00AF5F8E"/>
    <w:rsid w:val="00AF7B52"/>
    <w:rsid w:val="00B00C4F"/>
    <w:rsid w:val="00B012CA"/>
    <w:rsid w:val="00B01ECD"/>
    <w:rsid w:val="00B02844"/>
    <w:rsid w:val="00B0309C"/>
    <w:rsid w:val="00B05860"/>
    <w:rsid w:val="00B0593B"/>
    <w:rsid w:val="00B07373"/>
    <w:rsid w:val="00B0743D"/>
    <w:rsid w:val="00B10A3C"/>
    <w:rsid w:val="00B12001"/>
    <w:rsid w:val="00B13BBC"/>
    <w:rsid w:val="00B1419B"/>
    <w:rsid w:val="00B15C91"/>
    <w:rsid w:val="00B1613A"/>
    <w:rsid w:val="00B16A95"/>
    <w:rsid w:val="00B16CF9"/>
    <w:rsid w:val="00B173B8"/>
    <w:rsid w:val="00B202F5"/>
    <w:rsid w:val="00B25E2B"/>
    <w:rsid w:val="00B26A82"/>
    <w:rsid w:val="00B31031"/>
    <w:rsid w:val="00B311DA"/>
    <w:rsid w:val="00B32327"/>
    <w:rsid w:val="00B348A8"/>
    <w:rsid w:val="00B35DB0"/>
    <w:rsid w:val="00B37B39"/>
    <w:rsid w:val="00B40080"/>
    <w:rsid w:val="00B44DE1"/>
    <w:rsid w:val="00B44F12"/>
    <w:rsid w:val="00B45A2B"/>
    <w:rsid w:val="00B47B51"/>
    <w:rsid w:val="00B47C1B"/>
    <w:rsid w:val="00B50195"/>
    <w:rsid w:val="00B503DF"/>
    <w:rsid w:val="00B519F9"/>
    <w:rsid w:val="00B52637"/>
    <w:rsid w:val="00B52A83"/>
    <w:rsid w:val="00B54A2E"/>
    <w:rsid w:val="00B54F84"/>
    <w:rsid w:val="00B55665"/>
    <w:rsid w:val="00B64B7A"/>
    <w:rsid w:val="00B67A0B"/>
    <w:rsid w:val="00B725A5"/>
    <w:rsid w:val="00B754D7"/>
    <w:rsid w:val="00B77E20"/>
    <w:rsid w:val="00B77EE8"/>
    <w:rsid w:val="00B8145F"/>
    <w:rsid w:val="00B84687"/>
    <w:rsid w:val="00B862EE"/>
    <w:rsid w:val="00B864E6"/>
    <w:rsid w:val="00B90880"/>
    <w:rsid w:val="00B90AF3"/>
    <w:rsid w:val="00B93B8B"/>
    <w:rsid w:val="00B94119"/>
    <w:rsid w:val="00BA0A3B"/>
    <w:rsid w:val="00BA3A62"/>
    <w:rsid w:val="00BA5283"/>
    <w:rsid w:val="00BA62DD"/>
    <w:rsid w:val="00BA7594"/>
    <w:rsid w:val="00BB11F2"/>
    <w:rsid w:val="00BB2423"/>
    <w:rsid w:val="00BB271E"/>
    <w:rsid w:val="00BB2967"/>
    <w:rsid w:val="00BB7A4A"/>
    <w:rsid w:val="00BC0F7A"/>
    <w:rsid w:val="00BC5D4A"/>
    <w:rsid w:val="00BD35A1"/>
    <w:rsid w:val="00BD583C"/>
    <w:rsid w:val="00BE0E3B"/>
    <w:rsid w:val="00BE12F6"/>
    <w:rsid w:val="00BE27F8"/>
    <w:rsid w:val="00BE4317"/>
    <w:rsid w:val="00BE49EC"/>
    <w:rsid w:val="00BF0E67"/>
    <w:rsid w:val="00BF1E13"/>
    <w:rsid w:val="00BF33A2"/>
    <w:rsid w:val="00BF7685"/>
    <w:rsid w:val="00BF7796"/>
    <w:rsid w:val="00C027FB"/>
    <w:rsid w:val="00C101BE"/>
    <w:rsid w:val="00C11EB4"/>
    <w:rsid w:val="00C12920"/>
    <w:rsid w:val="00C15973"/>
    <w:rsid w:val="00C1647E"/>
    <w:rsid w:val="00C16FF7"/>
    <w:rsid w:val="00C20435"/>
    <w:rsid w:val="00C211D6"/>
    <w:rsid w:val="00C2137D"/>
    <w:rsid w:val="00C25264"/>
    <w:rsid w:val="00C25F73"/>
    <w:rsid w:val="00C31842"/>
    <w:rsid w:val="00C33501"/>
    <w:rsid w:val="00C3577D"/>
    <w:rsid w:val="00C35A47"/>
    <w:rsid w:val="00C35AC5"/>
    <w:rsid w:val="00C36476"/>
    <w:rsid w:val="00C375AC"/>
    <w:rsid w:val="00C420D5"/>
    <w:rsid w:val="00C42601"/>
    <w:rsid w:val="00C4468B"/>
    <w:rsid w:val="00C44C45"/>
    <w:rsid w:val="00C459E6"/>
    <w:rsid w:val="00C46D14"/>
    <w:rsid w:val="00C46DB8"/>
    <w:rsid w:val="00C47D84"/>
    <w:rsid w:val="00C50885"/>
    <w:rsid w:val="00C51B0D"/>
    <w:rsid w:val="00C52980"/>
    <w:rsid w:val="00C52A0D"/>
    <w:rsid w:val="00C52B4B"/>
    <w:rsid w:val="00C53523"/>
    <w:rsid w:val="00C549A1"/>
    <w:rsid w:val="00C568C8"/>
    <w:rsid w:val="00C56C95"/>
    <w:rsid w:val="00C60D73"/>
    <w:rsid w:val="00C61525"/>
    <w:rsid w:val="00C61F3F"/>
    <w:rsid w:val="00C6431A"/>
    <w:rsid w:val="00C65C98"/>
    <w:rsid w:val="00C71237"/>
    <w:rsid w:val="00C736D2"/>
    <w:rsid w:val="00C73AEE"/>
    <w:rsid w:val="00C75342"/>
    <w:rsid w:val="00C77976"/>
    <w:rsid w:val="00C77A2F"/>
    <w:rsid w:val="00C8051A"/>
    <w:rsid w:val="00C82CDA"/>
    <w:rsid w:val="00C833AA"/>
    <w:rsid w:val="00C84CD4"/>
    <w:rsid w:val="00C858EC"/>
    <w:rsid w:val="00C8659C"/>
    <w:rsid w:val="00C87895"/>
    <w:rsid w:val="00C909F2"/>
    <w:rsid w:val="00C94090"/>
    <w:rsid w:val="00C94424"/>
    <w:rsid w:val="00C95EB4"/>
    <w:rsid w:val="00CA3FEB"/>
    <w:rsid w:val="00CA7AE5"/>
    <w:rsid w:val="00CB26ED"/>
    <w:rsid w:val="00CB355A"/>
    <w:rsid w:val="00CB4669"/>
    <w:rsid w:val="00CB4A8B"/>
    <w:rsid w:val="00CB4D4F"/>
    <w:rsid w:val="00CB6A2C"/>
    <w:rsid w:val="00CB7CDC"/>
    <w:rsid w:val="00CC0B21"/>
    <w:rsid w:val="00CC2F2B"/>
    <w:rsid w:val="00CC3204"/>
    <w:rsid w:val="00CC3915"/>
    <w:rsid w:val="00CC39EB"/>
    <w:rsid w:val="00CC3BB1"/>
    <w:rsid w:val="00CC76D7"/>
    <w:rsid w:val="00CC7755"/>
    <w:rsid w:val="00CD14B3"/>
    <w:rsid w:val="00CD150F"/>
    <w:rsid w:val="00CD2EC4"/>
    <w:rsid w:val="00CD4149"/>
    <w:rsid w:val="00CD4A9A"/>
    <w:rsid w:val="00CE2E0C"/>
    <w:rsid w:val="00CE5160"/>
    <w:rsid w:val="00CE6BE4"/>
    <w:rsid w:val="00CF37E1"/>
    <w:rsid w:val="00CF74E5"/>
    <w:rsid w:val="00CF752F"/>
    <w:rsid w:val="00D00987"/>
    <w:rsid w:val="00D0101B"/>
    <w:rsid w:val="00D05F06"/>
    <w:rsid w:val="00D063E5"/>
    <w:rsid w:val="00D06872"/>
    <w:rsid w:val="00D129AB"/>
    <w:rsid w:val="00D140FB"/>
    <w:rsid w:val="00D17AC4"/>
    <w:rsid w:val="00D20259"/>
    <w:rsid w:val="00D20CE6"/>
    <w:rsid w:val="00D21666"/>
    <w:rsid w:val="00D2306D"/>
    <w:rsid w:val="00D232D2"/>
    <w:rsid w:val="00D2565A"/>
    <w:rsid w:val="00D25964"/>
    <w:rsid w:val="00D30D94"/>
    <w:rsid w:val="00D30F41"/>
    <w:rsid w:val="00D31A32"/>
    <w:rsid w:val="00D336B8"/>
    <w:rsid w:val="00D3530D"/>
    <w:rsid w:val="00D3549D"/>
    <w:rsid w:val="00D414FC"/>
    <w:rsid w:val="00D41522"/>
    <w:rsid w:val="00D44133"/>
    <w:rsid w:val="00D461A6"/>
    <w:rsid w:val="00D523EA"/>
    <w:rsid w:val="00D563AE"/>
    <w:rsid w:val="00D5722D"/>
    <w:rsid w:val="00D572A9"/>
    <w:rsid w:val="00D578E1"/>
    <w:rsid w:val="00D61D78"/>
    <w:rsid w:val="00D62F9F"/>
    <w:rsid w:val="00D631E5"/>
    <w:rsid w:val="00D636AC"/>
    <w:rsid w:val="00D64432"/>
    <w:rsid w:val="00D670B4"/>
    <w:rsid w:val="00D71626"/>
    <w:rsid w:val="00D7195B"/>
    <w:rsid w:val="00D72F89"/>
    <w:rsid w:val="00D73503"/>
    <w:rsid w:val="00D75D30"/>
    <w:rsid w:val="00D76427"/>
    <w:rsid w:val="00D764F8"/>
    <w:rsid w:val="00D77C77"/>
    <w:rsid w:val="00D77C8C"/>
    <w:rsid w:val="00D81194"/>
    <w:rsid w:val="00D8266E"/>
    <w:rsid w:val="00D83B1C"/>
    <w:rsid w:val="00D8484A"/>
    <w:rsid w:val="00D84C34"/>
    <w:rsid w:val="00D852B5"/>
    <w:rsid w:val="00D8653D"/>
    <w:rsid w:val="00D93519"/>
    <w:rsid w:val="00D94F8E"/>
    <w:rsid w:val="00D96798"/>
    <w:rsid w:val="00DA2684"/>
    <w:rsid w:val="00DB29B8"/>
    <w:rsid w:val="00DB3191"/>
    <w:rsid w:val="00DB3B84"/>
    <w:rsid w:val="00DB4AF2"/>
    <w:rsid w:val="00DB4ECF"/>
    <w:rsid w:val="00DC0B73"/>
    <w:rsid w:val="00DC2A9C"/>
    <w:rsid w:val="00DC3F83"/>
    <w:rsid w:val="00DC46DA"/>
    <w:rsid w:val="00DC47DF"/>
    <w:rsid w:val="00DC5901"/>
    <w:rsid w:val="00DD038C"/>
    <w:rsid w:val="00DD221C"/>
    <w:rsid w:val="00DD332A"/>
    <w:rsid w:val="00DD3D9B"/>
    <w:rsid w:val="00DD5D49"/>
    <w:rsid w:val="00DD7D61"/>
    <w:rsid w:val="00DE03D1"/>
    <w:rsid w:val="00DE06DD"/>
    <w:rsid w:val="00DE0D5E"/>
    <w:rsid w:val="00DE2C06"/>
    <w:rsid w:val="00DE6E66"/>
    <w:rsid w:val="00DE7537"/>
    <w:rsid w:val="00DF2CC2"/>
    <w:rsid w:val="00DF3D69"/>
    <w:rsid w:val="00DF59FB"/>
    <w:rsid w:val="00DF61DD"/>
    <w:rsid w:val="00DF74E3"/>
    <w:rsid w:val="00DF7FEA"/>
    <w:rsid w:val="00E038AA"/>
    <w:rsid w:val="00E0526D"/>
    <w:rsid w:val="00E078A6"/>
    <w:rsid w:val="00E10027"/>
    <w:rsid w:val="00E101DF"/>
    <w:rsid w:val="00E11B4C"/>
    <w:rsid w:val="00E12DCB"/>
    <w:rsid w:val="00E12F01"/>
    <w:rsid w:val="00E1647E"/>
    <w:rsid w:val="00E171DC"/>
    <w:rsid w:val="00E24A59"/>
    <w:rsid w:val="00E267A1"/>
    <w:rsid w:val="00E27C86"/>
    <w:rsid w:val="00E3170C"/>
    <w:rsid w:val="00E31FA8"/>
    <w:rsid w:val="00E32BB9"/>
    <w:rsid w:val="00E3409D"/>
    <w:rsid w:val="00E3574A"/>
    <w:rsid w:val="00E40A30"/>
    <w:rsid w:val="00E418C0"/>
    <w:rsid w:val="00E418D7"/>
    <w:rsid w:val="00E42B13"/>
    <w:rsid w:val="00E44B5E"/>
    <w:rsid w:val="00E46286"/>
    <w:rsid w:val="00E466E4"/>
    <w:rsid w:val="00E467AA"/>
    <w:rsid w:val="00E46908"/>
    <w:rsid w:val="00E47218"/>
    <w:rsid w:val="00E5070A"/>
    <w:rsid w:val="00E5263F"/>
    <w:rsid w:val="00E52E3A"/>
    <w:rsid w:val="00E53C81"/>
    <w:rsid w:val="00E547CD"/>
    <w:rsid w:val="00E60B49"/>
    <w:rsid w:val="00E616E0"/>
    <w:rsid w:val="00E63D1D"/>
    <w:rsid w:val="00E643A4"/>
    <w:rsid w:val="00E6565A"/>
    <w:rsid w:val="00E70150"/>
    <w:rsid w:val="00E75168"/>
    <w:rsid w:val="00E75314"/>
    <w:rsid w:val="00E762D2"/>
    <w:rsid w:val="00E76303"/>
    <w:rsid w:val="00E77281"/>
    <w:rsid w:val="00E7763D"/>
    <w:rsid w:val="00E801B5"/>
    <w:rsid w:val="00E82515"/>
    <w:rsid w:val="00E827F8"/>
    <w:rsid w:val="00E82861"/>
    <w:rsid w:val="00E828C5"/>
    <w:rsid w:val="00E870B3"/>
    <w:rsid w:val="00E878B4"/>
    <w:rsid w:val="00E87B23"/>
    <w:rsid w:val="00E9198C"/>
    <w:rsid w:val="00E92160"/>
    <w:rsid w:val="00E9767C"/>
    <w:rsid w:val="00E97977"/>
    <w:rsid w:val="00EA02D4"/>
    <w:rsid w:val="00EA08A9"/>
    <w:rsid w:val="00EA143E"/>
    <w:rsid w:val="00EA14B2"/>
    <w:rsid w:val="00EA1ACD"/>
    <w:rsid w:val="00EA1B05"/>
    <w:rsid w:val="00EA3482"/>
    <w:rsid w:val="00EA4A67"/>
    <w:rsid w:val="00EA723C"/>
    <w:rsid w:val="00EA7AD1"/>
    <w:rsid w:val="00EB062E"/>
    <w:rsid w:val="00EB3028"/>
    <w:rsid w:val="00EB392C"/>
    <w:rsid w:val="00EB4281"/>
    <w:rsid w:val="00EB5860"/>
    <w:rsid w:val="00EC2DE2"/>
    <w:rsid w:val="00EC4451"/>
    <w:rsid w:val="00EC4BCD"/>
    <w:rsid w:val="00EC57D6"/>
    <w:rsid w:val="00EC6ACA"/>
    <w:rsid w:val="00EC73D7"/>
    <w:rsid w:val="00ED2297"/>
    <w:rsid w:val="00ED3C43"/>
    <w:rsid w:val="00ED547A"/>
    <w:rsid w:val="00ED5D82"/>
    <w:rsid w:val="00EE096C"/>
    <w:rsid w:val="00EE19B8"/>
    <w:rsid w:val="00EE19D6"/>
    <w:rsid w:val="00EE322A"/>
    <w:rsid w:val="00EE3DF7"/>
    <w:rsid w:val="00EE4313"/>
    <w:rsid w:val="00EE5057"/>
    <w:rsid w:val="00EF309A"/>
    <w:rsid w:val="00EF4257"/>
    <w:rsid w:val="00EF46DC"/>
    <w:rsid w:val="00EF5B62"/>
    <w:rsid w:val="00EF66A3"/>
    <w:rsid w:val="00EF700A"/>
    <w:rsid w:val="00F007E5"/>
    <w:rsid w:val="00F00D17"/>
    <w:rsid w:val="00F02CCF"/>
    <w:rsid w:val="00F032F2"/>
    <w:rsid w:val="00F03319"/>
    <w:rsid w:val="00F03646"/>
    <w:rsid w:val="00F06E2B"/>
    <w:rsid w:val="00F07F52"/>
    <w:rsid w:val="00F10954"/>
    <w:rsid w:val="00F12102"/>
    <w:rsid w:val="00F13851"/>
    <w:rsid w:val="00F13B87"/>
    <w:rsid w:val="00F14A91"/>
    <w:rsid w:val="00F15651"/>
    <w:rsid w:val="00F16C3B"/>
    <w:rsid w:val="00F1729D"/>
    <w:rsid w:val="00F20354"/>
    <w:rsid w:val="00F20591"/>
    <w:rsid w:val="00F231DF"/>
    <w:rsid w:val="00F23DAB"/>
    <w:rsid w:val="00F243A1"/>
    <w:rsid w:val="00F24471"/>
    <w:rsid w:val="00F24BC6"/>
    <w:rsid w:val="00F25CD6"/>
    <w:rsid w:val="00F26598"/>
    <w:rsid w:val="00F268ED"/>
    <w:rsid w:val="00F26E8F"/>
    <w:rsid w:val="00F32C72"/>
    <w:rsid w:val="00F36896"/>
    <w:rsid w:val="00F36E54"/>
    <w:rsid w:val="00F36EAE"/>
    <w:rsid w:val="00F37D02"/>
    <w:rsid w:val="00F4122E"/>
    <w:rsid w:val="00F428F9"/>
    <w:rsid w:val="00F4324F"/>
    <w:rsid w:val="00F44F8A"/>
    <w:rsid w:val="00F45210"/>
    <w:rsid w:val="00F51248"/>
    <w:rsid w:val="00F51F1D"/>
    <w:rsid w:val="00F5291C"/>
    <w:rsid w:val="00F52B7F"/>
    <w:rsid w:val="00F5379C"/>
    <w:rsid w:val="00F54074"/>
    <w:rsid w:val="00F54094"/>
    <w:rsid w:val="00F54AB9"/>
    <w:rsid w:val="00F577C0"/>
    <w:rsid w:val="00F6041D"/>
    <w:rsid w:val="00F60C68"/>
    <w:rsid w:val="00F611F8"/>
    <w:rsid w:val="00F61284"/>
    <w:rsid w:val="00F64B5F"/>
    <w:rsid w:val="00F65112"/>
    <w:rsid w:val="00F653B7"/>
    <w:rsid w:val="00F667AA"/>
    <w:rsid w:val="00F7275E"/>
    <w:rsid w:val="00F72D22"/>
    <w:rsid w:val="00F73B80"/>
    <w:rsid w:val="00F74A0E"/>
    <w:rsid w:val="00F811FC"/>
    <w:rsid w:val="00F83097"/>
    <w:rsid w:val="00F868A4"/>
    <w:rsid w:val="00F870B5"/>
    <w:rsid w:val="00F933AD"/>
    <w:rsid w:val="00F949A6"/>
    <w:rsid w:val="00F957D9"/>
    <w:rsid w:val="00F972A2"/>
    <w:rsid w:val="00FA0593"/>
    <w:rsid w:val="00FA131F"/>
    <w:rsid w:val="00FA6E3D"/>
    <w:rsid w:val="00FB12E0"/>
    <w:rsid w:val="00FB25AF"/>
    <w:rsid w:val="00FB2B1D"/>
    <w:rsid w:val="00FB55A5"/>
    <w:rsid w:val="00FB56DE"/>
    <w:rsid w:val="00FB60B6"/>
    <w:rsid w:val="00FC00FE"/>
    <w:rsid w:val="00FC0C60"/>
    <w:rsid w:val="00FC26C9"/>
    <w:rsid w:val="00FC38FB"/>
    <w:rsid w:val="00FD0151"/>
    <w:rsid w:val="00FD0A89"/>
    <w:rsid w:val="00FD1177"/>
    <w:rsid w:val="00FD30A5"/>
    <w:rsid w:val="00FD4085"/>
    <w:rsid w:val="00FE2D53"/>
    <w:rsid w:val="00FE3009"/>
    <w:rsid w:val="00FE483C"/>
    <w:rsid w:val="00FE53B4"/>
    <w:rsid w:val="00FE6643"/>
    <w:rsid w:val="00FE6ABC"/>
    <w:rsid w:val="00FE74BF"/>
    <w:rsid w:val="00FE7F08"/>
    <w:rsid w:val="00FF0005"/>
    <w:rsid w:val="00FF3086"/>
    <w:rsid w:val="00FF3F2F"/>
    <w:rsid w:val="00FF449B"/>
    <w:rsid w:val="00FF5477"/>
    <w:rsid w:val="00FF63F8"/>
    <w:rsid w:val="00FF679E"/>
    <w:rsid w:val="00FF7632"/>
    <w:rsid w:val="00FF7CCB"/>
    <w:rsid w:val="0144767F"/>
    <w:rsid w:val="028A0A4B"/>
    <w:rsid w:val="02B71414"/>
    <w:rsid w:val="04100A04"/>
    <w:rsid w:val="09714726"/>
    <w:rsid w:val="09C25223"/>
    <w:rsid w:val="0A7030A8"/>
    <w:rsid w:val="0BB41ADC"/>
    <w:rsid w:val="0F1611DD"/>
    <w:rsid w:val="142353E5"/>
    <w:rsid w:val="172A5D1E"/>
    <w:rsid w:val="19511663"/>
    <w:rsid w:val="197664DC"/>
    <w:rsid w:val="1A4D486F"/>
    <w:rsid w:val="1E730067"/>
    <w:rsid w:val="2864640C"/>
    <w:rsid w:val="2D3729E1"/>
    <w:rsid w:val="2F8505EC"/>
    <w:rsid w:val="31231D11"/>
    <w:rsid w:val="31630166"/>
    <w:rsid w:val="37296E9D"/>
    <w:rsid w:val="3AF43728"/>
    <w:rsid w:val="3B840F8F"/>
    <w:rsid w:val="3EBFD6DB"/>
    <w:rsid w:val="3ED20A68"/>
    <w:rsid w:val="3F1C7C8F"/>
    <w:rsid w:val="408F49C2"/>
    <w:rsid w:val="451E40B8"/>
    <w:rsid w:val="541C1CED"/>
    <w:rsid w:val="5CDF0ACB"/>
    <w:rsid w:val="5FD56CA3"/>
    <w:rsid w:val="62952EF8"/>
    <w:rsid w:val="62EF482A"/>
    <w:rsid w:val="63D6BC7D"/>
    <w:rsid w:val="63E459BE"/>
    <w:rsid w:val="69FFC543"/>
    <w:rsid w:val="6A770A83"/>
    <w:rsid w:val="6BB14542"/>
    <w:rsid w:val="6D663EDD"/>
    <w:rsid w:val="7312572E"/>
    <w:rsid w:val="7AA26A76"/>
    <w:rsid w:val="7C5D85E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6AB315"/>
  <w15:docId w15:val="{004FA5AD-E431-4164-9D51-D39A323E7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uiPriority="0" w:qFormat="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Times New Roman" w:eastAsia="宋体" w:hAnsi="Times New Roman"/>
      <w:kern w:val="2"/>
      <w:sz w:val="21"/>
      <w:szCs w:val="24"/>
    </w:rPr>
  </w:style>
  <w:style w:type="paragraph" w:styleId="1">
    <w:name w:val="heading 1"/>
    <w:basedOn w:val="a"/>
    <w:next w:val="a"/>
    <w:link w:val="10"/>
    <w:qFormat/>
    <w:pPr>
      <w:keepNext/>
      <w:keepLines/>
      <w:numPr>
        <w:numId w:val="1"/>
      </w:numPr>
      <w:adjustRightInd w:val="0"/>
      <w:spacing w:line="560" w:lineRule="exact"/>
      <w:ind w:left="0" w:firstLineChars="200" w:firstLine="643"/>
      <w:jc w:val="center"/>
      <w:textAlignment w:val="baseline"/>
      <w:outlineLvl w:val="0"/>
    </w:pPr>
    <w:rPr>
      <w:rFonts w:ascii="黑体" w:eastAsia="黑体" w:hAnsi="Arial Unicode MS"/>
      <w:b/>
      <w:bCs/>
      <w:kern w:val="44"/>
      <w:sz w:val="32"/>
      <w:szCs w:val="32"/>
    </w:rPr>
  </w:style>
  <w:style w:type="paragraph" w:styleId="2">
    <w:name w:val="heading 2"/>
    <w:basedOn w:val="a"/>
    <w:next w:val="a"/>
    <w:link w:val="20"/>
    <w:qFormat/>
    <w:pPr>
      <w:keepNext/>
      <w:keepLines/>
      <w:numPr>
        <w:ilvl w:val="1"/>
        <w:numId w:val="1"/>
      </w:numPr>
      <w:tabs>
        <w:tab w:val="left" w:pos="0"/>
        <w:tab w:val="left" w:pos="567"/>
        <w:tab w:val="left" w:pos="851"/>
        <w:tab w:val="left" w:pos="1843"/>
      </w:tabs>
      <w:adjustRightInd w:val="0"/>
      <w:spacing w:line="560" w:lineRule="exact"/>
      <w:ind w:left="0" w:firstLineChars="200" w:firstLine="643"/>
      <w:jc w:val="center"/>
      <w:textAlignment w:val="baseline"/>
      <w:outlineLvl w:val="1"/>
    </w:pPr>
    <w:rPr>
      <w:rFonts w:ascii="仿宋_GB2312" w:eastAsia="仿宋_GB2312" w:hAnsi="Arial Unicode MS"/>
      <w:b/>
      <w:kern w:val="0"/>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11"/>
    <w:qFormat/>
    <w:pPr>
      <w:spacing w:after="120"/>
    </w:pPr>
    <w:rPr>
      <w:kern w:val="0"/>
      <w:sz w:val="20"/>
    </w:rPr>
  </w:style>
  <w:style w:type="paragraph" w:styleId="a4">
    <w:name w:val="Normal Indent"/>
    <w:basedOn w:val="a"/>
    <w:qFormat/>
    <w:pPr>
      <w:ind w:firstLineChars="200" w:firstLine="420"/>
    </w:pPr>
  </w:style>
  <w:style w:type="paragraph" w:styleId="a5">
    <w:name w:val="Document Map"/>
    <w:basedOn w:val="a"/>
    <w:link w:val="12"/>
    <w:uiPriority w:val="99"/>
    <w:semiHidden/>
    <w:unhideWhenUsed/>
    <w:qFormat/>
    <w:rPr>
      <w:rFonts w:ascii="宋体"/>
      <w:kern w:val="0"/>
      <w:sz w:val="18"/>
      <w:szCs w:val="18"/>
    </w:rPr>
  </w:style>
  <w:style w:type="paragraph" w:styleId="a6">
    <w:name w:val="annotation text"/>
    <w:basedOn w:val="a"/>
    <w:link w:val="a7"/>
    <w:uiPriority w:val="99"/>
    <w:unhideWhenUsed/>
    <w:qFormat/>
    <w:pPr>
      <w:jc w:val="left"/>
    </w:pPr>
    <w:rPr>
      <w:kern w:val="0"/>
      <w:sz w:val="20"/>
    </w:rPr>
  </w:style>
  <w:style w:type="paragraph" w:styleId="a8">
    <w:name w:val="Body Text Indent"/>
    <w:basedOn w:val="a"/>
    <w:link w:val="13"/>
    <w:qFormat/>
    <w:pPr>
      <w:spacing w:line="600" w:lineRule="atLeast"/>
      <w:ind w:firstLine="646"/>
    </w:pPr>
    <w:rPr>
      <w:rFonts w:ascii="仿宋_GB2312" w:eastAsia="仿宋_GB2312"/>
      <w:kern w:val="0"/>
      <w:sz w:val="32"/>
      <w:szCs w:val="20"/>
    </w:rPr>
  </w:style>
  <w:style w:type="paragraph" w:styleId="a9">
    <w:name w:val="Plain Text"/>
    <w:basedOn w:val="a"/>
    <w:link w:val="14"/>
    <w:qFormat/>
    <w:rPr>
      <w:rFonts w:ascii="宋体" w:hAnsi="Courier New"/>
      <w:kern w:val="0"/>
      <w:sz w:val="20"/>
      <w:szCs w:val="20"/>
    </w:rPr>
  </w:style>
  <w:style w:type="paragraph" w:styleId="aa">
    <w:name w:val="Date"/>
    <w:basedOn w:val="a"/>
    <w:next w:val="a"/>
    <w:link w:val="15"/>
    <w:qFormat/>
    <w:rPr>
      <w:rFonts w:ascii="楷体_GB2312" w:eastAsia="楷体_GB2312"/>
      <w:kern w:val="0"/>
      <w:sz w:val="32"/>
      <w:szCs w:val="20"/>
    </w:rPr>
  </w:style>
  <w:style w:type="paragraph" w:styleId="21">
    <w:name w:val="Body Text Indent 2"/>
    <w:basedOn w:val="a"/>
    <w:link w:val="210"/>
    <w:qFormat/>
    <w:pPr>
      <w:spacing w:line="500" w:lineRule="exact"/>
      <w:ind w:firstLineChars="225" w:firstLine="540"/>
    </w:pPr>
    <w:rPr>
      <w:rFonts w:ascii="仿宋_GB2312" w:eastAsia="仿宋_GB2312" w:hAnsi="宋体"/>
      <w:kern w:val="0"/>
      <w:sz w:val="24"/>
    </w:rPr>
  </w:style>
  <w:style w:type="paragraph" w:styleId="ab">
    <w:name w:val="Balloon Text"/>
    <w:basedOn w:val="a"/>
    <w:link w:val="ac"/>
    <w:uiPriority w:val="99"/>
    <w:semiHidden/>
    <w:unhideWhenUsed/>
    <w:qFormat/>
    <w:rPr>
      <w:kern w:val="0"/>
      <w:sz w:val="18"/>
      <w:szCs w:val="18"/>
    </w:rPr>
  </w:style>
  <w:style w:type="paragraph" w:styleId="ad">
    <w:name w:val="footer"/>
    <w:basedOn w:val="a"/>
    <w:link w:val="ae"/>
    <w:uiPriority w:val="99"/>
    <w:unhideWhenUsed/>
    <w:qFormat/>
    <w:pPr>
      <w:tabs>
        <w:tab w:val="center" w:pos="4153"/>
        <w:tab w:val="right" w:pos="8306"/>
      </w:tabs>
      <w:snapToGrid w:val="0"/>
      <w:jc w:val="left"/>
    </w:pPr>
    <w:rPr>
      <w:rFonts w:ascii="等线" w:eastAsia="等线" w:hAnsi="等线"/>
      <w:kern w:val="0"/>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jc w:val="center"/>
    </w:pPr>
    <w:rPr>
      <w:rFonts w:ascii="等线" w:eastAsia="等线" w:hAnsi="等线"/>
      <w:kern w:val="0"/>
      <w:sz w:val="18"/>
      <w:szCs w:val="18"/>
    </w:rPr>
  </w:style>
  <w:style w:type="paragraph" w:styleId="TOC1">
    <w:name w:val="toc 1"/>
    <w:basedOn w:val="a"/>
    <w:next w:val="a"/>
    <w:uiPriority w:val="39"/>
    <w:qFormat/>
    <w:pPr>
      <w:tabs>
        <w:tab w:val="left" w:pos="420"/>
        <w:tab w:val="left" w:pos="1134"/>
        <w:tab w:val="right" w:leader="dot" w:pos="8380"/>
      </w:tabs>
      <w:spacing w:line="560" w:lineRule="exact"/>
      <w:jc w:val="left"/>
    </w:pPr>
    <w:rPr>
      <w:rFonts w:eastAsia="黑体"/>
      <w:b/>
      <w:snapToGrid w:val="0"/>
      <w:w w:val="0"/>
      <w:kern w:val="0"/>
      <w:sz w:val="32"/>
    </w:rPr>
  </w:style>
  <w:style w:type="paragraph" w:styleId="af1">
    <w:name w:val="footnote text"/>
    <w:basedOn w:val="a"/>
    <w:uiPriority w:val="99"/>
    <w:unhideWhenUsed/>
    <w:qFormat/>
    <w:pPr>
      <w:snapToGrid w:val="0"/>
      <w:jc w:val="left"/>
    </w:pPr>
    <w:rPr>
      <w:sz w:val="18"/>
      <w:szCs w:val="18"/>
    </w:rPr>
  </w:style>
  <w:style w:type="paragraph" w:styleId="3">
    <w:name w:val="Body Text Indent 3"/>
    <w:basedOn w:val="a"/>
    <w:link w:val="31"/>
    <w:qFormat/>
    <w:pPr>
      <w:autoSpaceDE w:val="0"/>
      <w:autoSpaceDN w:val="0"/>
      <w:adjustRightInd w:val="0"/>
      <w:spacing w:line="500" w:lineRule="exact"/>
      <w:ind w:firstLineChars="150" w:firstLine="360"/>
    </w:pPr>
    <w:rPr>
      <w:rFonts w:ascii="仿宋_GB2312" w:eastAsia="仿宋_GB2312" w:hAnsi="宋体"/>
      <w:kern w:val="28"/>
      <w:sz w:val="24"/>
    </w:rPr>
  </w:style>
  <w:style w:type="paragraph" w:styleId="TOC2">
    <w:name w:val="toc 2"/>
    <w:basedOn w:val="a"/>
    <w:next w:val="a"/>
    <w:uiPriority w:val="39"/>
    <w:qFormat/>
    <w:pPr>
      <w:tabs>
        <w:tab w:val="left" w:pos="1276"/>
        <w:tab w:val="right" w:leader="dot" w:pos="8380"/>
      </w:tabs>
      <w:spacing w:line="560" w:lineRule="exact"/>
    </w:pPr>
    <w:rPr>
      <w:rFonts w:eastAsia="楷体_GB2312"/>
      <w:b/>
      <w:sz w:val="32"/>
    </w:rPr>
  </w:style>
  <w:style w:type="paragraph" w:styleId="22">
    <w:name w:val="Body Text 2"/>
    <w:basedOn w:val="a"/>
    <w:link w:val="211"/>
    <w:qFormat/>
    <w:pPr>
      <w:spacing w:after="120" w:line="480" w:lineRule="auto"/>
    </w:pPr>
    <w:rPr>
      <w:kern w:val="0"/>
      <w:sz w:val="20"/>
    </w:rPr>
  </w:style>
  <w:style w:type="paragraph" w:styleId="af2">
    <w:name w:val="Normal (Web)"/>
    <w:basedOn w:val="a"/>
    <w:uiPriority w:val="99"/>
    <w:unhideWhenUsed/>
    <w:qFormat/>
    <w:pPr>
      <w:widowControl/>
      <w:adjustRightInd w:val="0"/>
      <w:spacing w:before="100" w:beforeAutospacing="1" w:after="100" w:afterAutospacing="1" w:line="360" w:lineRule="atLeast"/>
      <w:jc w:val="left"/>
      <w:textAlignment w:val="baseline"/>
    </w:pPr>
    <w:rPr>
      <w:rFonts w:ascii="宋体" w:hAnsi="宋体" w:cs="宋体"/>
      <w:kern w:val="0"/>
      <w:sz w:val="24"/>
    </w:rPr>
  </w:style>
  <w:style w:type="paragraph" w:styleId="af3">
    <w:name w:val="annotation subject"/>
    <w:basedOn w:val="a6"/>
    <w:next w:val="a6"/>
    <w:link w:val="af4"/>
    <w:uiPriority w:val="99"/>
    <w:unhideWhenUsed/>
    <w:qFormat/>
    <w:rPr>
      <w:b/>
      <w:bCs/>
    </w:rPr>
  </w:style>
  <w:style w:type="table" w:styleId="af5">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qFormat/>
    <w:rPr>
      <w:b/>
      <w:bCs/>
    </w:rPr>
  </w:style>
  <w:style w:type="character" w:styleId="af7">
    <w:name w:val="page number"/>
    <w:basedOn w:val="a1"/>
    <w:qFormat/>
  </w:style>
  <w:style w:type="character" w:styleId="HTML">
    <w:name w:val="HTML Typewriter"/>
    <w:qFormat/>
    <w:rPr>
      <w:rFonts w:ascii="宋体" w:eastAsia="宋体" w:hAnsi="宋体" w:cs="宋体"/>
      <w:sz w:val="24"/>
      <w:szCs w:val="24"/>
    </w:rPr>
  </w:style>
  <w:style w:type="character" w:styleId="af8">
    <w:name w:val="Hyperlink"/>
    <w:uiPriority w:val="99"/>
    <w:qFormat/>
    <w:rPr>
      <w:color w:val="0000FF"/>
      <w:u w:val="single"/>
    </w:rPr>
  </w:style>
  <w:style w:type="character" w:styleId="af9">
    <w:name w:val="annotation reference"/>
    <w:uiPriority w:val="99"/>
    <w:unhideWhenUsed/>
    <w:qFormat/>
    <w:rPr>
      <w:sz w:val="21"/>
      <w:szCs w:val="21"/>
    </w:rPr>
  </w:style>
  <w:style w:type="character" w:customStyle="1" w:styleId="af0">
    <w:name w:val="页眉 字符"/>
    <w:link w:val="af"/>
    <w:uiPriority w:val="99"/>
    <w:qFormat/>
    <w:rPr>
      <w:sz w:val="18"/>
      <w:szCs w:val="18"/>
    </w:rPr>
  </w:style>
  <w:style w:type="character" w:customStyle="1" w:styleId="ae">
    <w:name w:val="页脚 字符"/>
    <w:link w:val="ad"/>
    <w:uiPriority w:val="99"/>
    <w:qFormat/>
    <w:rPr>
      <w:sz w:val="18"/>
      <w:szCs w:val="18"/>
    </w:rPr>
  </w:style>
  <w:style w:type="character" w:customStyle="1" w:styleId="10">
    <w:name w:val="标题 1 字符"/>
    <w:link w:val="1"/>
    <w:qFormat/>
    <w:rPr>
      <w:rFonts w:ascii="黑体" w:eastAsia="黑体" w:hAnsi="Arial Unicode MS" w:cs="Arial Unicode MS"/>
      <w:b/>
      <w:bCs/>
      <w:kern w:val="44"/>
      <w:sz w:val="32"/>
      <w:szCs w:val="32"/>
    </w:rPr>
  </w:style>
  <w:style w:type="character" w:customStyle="1" w:styleId="20">
    <w:name w:val="标题 2 字符"/>
    <w:link w:val="2"/>
    <w:qFormat/>
    <w:rPr>
      <w:rFonts w:ascii="仿宋_GB2312" w:eastAsia="仿宋_GB2312" w:hAnsi="Arial Unicode MS" w:cs="Arial Unicode MS"/>
      <w:b/>
      <w:sz w:val="32"/>
      <w:szCs w:val="32"/>
    </w:rPr>
  </w:style>
  <w:style w:type="paragraph" w:styleId="afa">
    <w:name w:val="List Paragraph"/>
    <w:basedOn w:val="a"/>
    <w:link w:val="afb"/>
    <w:qFormat/>
    <w:pPr>
      <w:ind w:firstLineChars="200" w:firstLine="420"/>
    </w:pPr>
    <w:rPr>
      <w:rFonts w:ascii="Calibri" w:eastAsia="仿宋_GB2312" w:hAnsi="Calibri"/>
      <w:kern w:val="0"/>
      <w:sz w:val="20"/>
      <w:szCs w:val="20"/>
    </w:rPr>
  </w:style>
  <w:style w:type="character" w:customStyle="1" w:styleId="afb">
    <w:name w:val="列表段落 字符"/>
    <w:link w:val="afa"/>
    <w:qFormat/>
    <w:rPr>
      <w:rFonts w:ascii="Calibri" w:eastAsia="仿宋_GB2312" w:hAnsi="Calibri"/>
    </w:rPr>
  </w:style>
  <w:style w:type="paragraph" w:customStyle="1" w:styleId="23">
    <w:name w:val="样式2"/>
    <w:basedOn w:val="a"/>
    <w:link w:val="2Char"/>
    <w:qFormat/>
    <w:pPr>
      <w:keepNext/>
      <w:keepLines/>
      <w:tabs>
        <w:tab w:val="left" w:pos="0"/>
        <w:tab w:val="left" w:pos="567"/>
        <w:tab w:val="left" w:pos="851"/>
        <w:tab w:val="left" w:pos="993"/>
        <w:tab w:val="left" w:pos="1276"/>
        <w:tab w:val="left" w:pos="1843"/>
        <w:tab w:val="left" w:pos="2127"/>
        <w:tab w:val="left" w:pos="2410"/>
        <w:tab w:val="left" w:pos="2552"/>
        <w:tab w:val="left" w:pos="2694"/>
        <w:tab w:val="left" w:pos="2977"/>
        <w:tab w:val="left" w:pos="3119"/>
      </w:tabs>
      <w:adjustRightInd w:val="0"/>
      <w:spacing w:line="560" w:lineRule="exact"/>
      <w:ind w:firstLineChars="200" w:firstLine="643"/>
      <w:jc w:val="center"/>
      <w:textAlignment w:val="baseline"/>
      <w:outlineLvl w:val="1"/>
    </w:pPr>
    <w:rPr>
      <w:rFonts w:ascii="楷体_GB2312" w:eastAsia="楷体_GB2312" w:hAnsi="Arial Unicode MS"/>
      <w:b/>
      <w:kern w:val="0"/>
      <w:sz w:val="32"/>
      <w:szCs w:val="32"/>
    </w:rPr>
  </w:style>
  <w:style w:type="character" w:customStyle="1" w:styleId="2Char">
    <w:name w:val="样式2 Char"/>
    <w:link w:val="23"/>
    <w:qFormat/>
    <w:rPr>
      <w:rFonts w:ascii="楷体_GB2312" w:eastAsia="楷体_GB2312" w:hAnsi="Arial Unicode MS" w:cs="Arial Unicode MS"/>
      <w:b/>
      <w:sz w:val="32"/>
      <w:szCs w:val="32"/>
    </w:rPr>
  </w:style>
  <w:style w:type="paragraph" w:customStyle="1" w:styleId="7">
    <w:name w:val="样式7"/>
    <w:basedOn w:val="a"/>
    <w:link w:val="7Char"/>
    <w:qFormat/>
    <w:pPr>
      <w:keepNext/>
      <w:keepLines/>
      <w:tabs>
        <w:tab w:val="left" w:pos="142"/>
        <w:tab w:val="left" w:pos="1560"/>
        <w:tab w:val="left" w:pos="1701"/>
      </w:tabs>
      <w:adjustRightInd w:val="0"/>
      <w:spacing w:line="560" w:lineRule="exact"/>
      <w:ind w:firstLineChars="200" w:firstLine="640"/>
      <w:jc w:val="center"/>
      <w:textAlignment w:val="baseline"/>
      <w:outlineLvl w:val="0"/>
    </w:pPr>
    <w:rPr>
      <w:rFonts w:ascii="黑体" w:eastAsia="黑体" w:hAnsi="Arial Unicode MS"/>
      <w:bCs/>
      <w:kern w:val="44"/>
      <w:sz w:val="32"/>
      <w:szCs w:val="32"/>
    </w:rPr>
  </w:style>
  <w:style w:type="character" w:customStyle="1" w:styleId="7Char">
    <w:name w:val="样式7 Char"/>
    <w:link w:val="7"/>
    <w:qFormat/>
    <w:rPr>
      <w:rFonts w:ascii="黑体" w:eastAsia="黑体" w:hAnsi="Arial Unicode MS" w:cs="Arial Unicode MS"/>
      <w:bCs/>
      <w:kern w:val="44"/>
      <w:sz w:val="32"/>
      <w:szCs w:val="32"/>
    </w:rPr>
  </w:style>
  <w:style w:type="character" w:customStyle="1" w:styleId="a7">
    <w:name w:val="批注文字 字符"/>
    <w:link w:val="a6"/>
    <w:uiPriority w:val="99"/>
    <w:semiHidden/>
    <w:qFormat/>
    <w:rPr>
      <w:rFonts w:ascii="Times New Roman" w:eastAsia="宋体" w:hAnsi="Times New Roman" w:cs="Times New Roman"/>
      <w:szCs w:val="24"/>
    </w:rPr>
  </w:style>
  <w:style w:type="character" w:customStyle="1" w:styleId="af4">
    <w:name w:val="批注主题 字符"/>
    <w:link w:val="af3"/>
    <w:uiPriority w:val="99"/>
    <w:semiHidden/>
    <w:qFormat/>
    <w:rPr>
      <w:rFonts w:ascii="Times New Roman" w:eastAsia="宋体" w:hAnsi="Times New Roman" w:cs="Times New Roman"/>
      <w:b/>
      <w:bCs/>
      <w:szCs w:val="24"/>
    </w:rPr>
  </w:style>
  <w:style w:type="character" w:customStyle="1" w:styleId="ac">
    <w:name w:val="批注框文本 字符"/>
    <w:link w:val="ab"/>
    <w:uiPriority w:val="99"/>
    <w:semiHidden/>
    <w:qFormat/>
    <w:rPr>
      <w:rFonts w:ascii="Times New Roman" w:eastAsia="宋体" w:hAnsi="Times New Roman" w:cs="Times New Roman"/>
      <w:sz w:val="18"/>
      <w:szCs w:val="18"/>
    </w:rPr>
  </w:style>
  <w:style w:type="paragraph" w:customStyle="1" w:styleId="16">
    <w:name w:val="修订1"/>
    <w:hidden/>
    <w:uiPriority w:val="99"/>
    <w:semiHidden/>
    <w:qFormat/>
    <w:rPr>
      <w:rFonts w:ascii="Times New Roman" w:eastAsia="宋体" w:hAnsi="Times New Roman"/>
      <w:kern w:val="2"/>
      <w:sz w:val="21"/>
      <w:szCs w:val="24"/>
    </w:rPr>
  </w:style>
  <w:style w:type="character" w:customStyle="1" w:styleId="fontstyle01">
    <w:name w:val="fontstyle01"/>
    <w:qFormat/>
    <w:rPr>
      <w:rFonts w:ascii="宋体" w:eastAsia="宋体" w:hAnsi="宋体" w:hint="eastAsia"/>
      <w:color w:val="000000"/>
      <w:sz w:val="24"/>
      <w:szCs w:val="24"/>
    </w:rPr>
  </w:style>
  <w:style w:type="character" w:customStyle="1" w:styleId="1Char">
    <w:name w:val="标题 1 Char"/>
    <w:qFormat/>
    <w:rPr>
      <w:rFonts w:ascii="黑体" w:eastAsia="黑体" w:hAnsi="Arial Unicode MS" w:cs="Arial Unicode MS"/>
      <w:b/>
      <w:bCs/>
      <w:kern w:val="44"/>
      <w:sz w:val="32"/>
      <w:szCs w:val="32"/>
    </w:rPr>
  </w:style>
  <w:style w:type="character" w:customStyle="1" w:styleId="2Char0">
    <w:name w:val="标题 2 Char"/>
    <w:qFormat/>
    <w:rPr>
      <w:rFonts w:ascii="仿宋_GB2312" w:eastAsia="仿宋_GB2312" w:hAnsi="Arial Unicode MS" w:cs="Arial Unicode MS"/>
      <w:b/>
      <w:sz w:val="32"/>
      <w:szCs w:val="32"/>
    </w:rPr>
  </w:style>
  <w:style w:type="character" w:customStyle="1" w:styleId="Char">
    <w:name w:val="页眉 Char"/>
    <w:uiPriority w:val="99"/>
    <w:qFormat/>
    <w:rPr>
      <w:rFonts w:ascii="Times New Roman" w:eastAsia="宋体" w:hAnsi="Times New Roman" w:cs="Times New Roman"/>
      <w:sz w:val="18"/>
      <w:szCs w:val="18"/>
    </w:rPr>
  </w:style>
  <w:style w:type="character" w:customStyle="1" w:styleId="Char0">
    <w:name w:val="页脚 Char"/>
    <w:qFormat/>
    <w:rPr>
      <w:rFonts w:ascii="Times New Roman" w:eastAsia="宋体" w:hAnsi="Times New Roman" w:cs="Times New Roman"/>
      <w:sz w:val="18"/>
      <w:szCs w:val="18"/>
    </w:rPr>
  </w:style>
  <w:style w:type="character" w:customStyle="1" w:styleId="afc">
    <w:name w:val="日期 字符"/>
    <w:uiPriority w:val="99"/>
    <w:semiHidden/>
    <w:qFormat/>
    <w:rPr>
      <w:rFonts w:ascii="Times New Roman" w:eastAsia="宋体" w:hAnsi="Times New Roman" w:cs="Times New Roman"/>
      <w:szCs w:val="24"/>
    </w:rPr>
  </w:style>
  <w:style w:type="character" w:customStyle="1" w:styleId="15">
    <w:name w:val="日期 字符1"/>
    <w:link w:val="aa"/>
    <w:qFormat/>
    <w:rPr>
      <w:rFonts w:ascii="楷体_GB2312" w:eastAsia="楷体_GB2312" w:hAnsi="Times New Roman" w:cs="Times New Roman"/>
      <w:sz w:val="32"/>
      <w:szCs w:val="20"/>
    </w:rPr>
  </w:style>
  <w:style w:type="character" w:customStyle="1" w:styleId="Char1">
    <w:name w:val="批注框文本 Char"/>
    <w:uiPriority w:val="99"/>
    <w:semiHidden/>
    <w:qFormat/>
    <w:rPr>
      <w:rFonts w:ascii="Times New Roman" w:eastAsia="宋体" w:hAnsi="Times New Roman" w:cs="Times New Roman"/>
      <w:sz w:val="18"/>
      <w:szCs w:val="18"/>
    </w:rPr>
  </w:style>
  <w:style w:type="character" w:customStyle="1" w:styleId="Char2">
    <w:name w:val="批注文字 Char"/>
    <w:uiPriority w:val="99"/>
    <w:qFormat/>
    <w:rPr>
      <w:rFonts w:ascii="Times New Roman" w:eastAsia="宋体" w:hAnsi="Times New Roman" w:cs="Times New Roman"/>
      <w:szCs w:val="24"/>
    </w:rPr>
  </w:style>
  <w:style w:type="character" w:customStyle="1" w:styleId="Char3">
    <w:name w:val="批注主题 Char"/>
    <w:qFormat/>
    <w:rPr>
      <w:rFonts w:ascii="Times New Roman" w:eastAsia="宋体" w:hAnsi="Times New Roman" w:cs="Times New Roman"/>
      <w:b/>
      <w:bCs/>
      <w:szCs w:val="24"/>
    </w:rPr>
  </w:style>
  <w:style w:type="character" w:customStyle="1" w:styleId="afd">
    <w:name w:val="正文文本缩进 字符"/>
    <w:uiPriority w:val="99"/>
    <w:semiHidden/>
    <w:qFormat/>
    <w:rPr>
      <w:rFonts w:ascii="Times New Roman" w:eastAsia="宋体" w:hAnsi="Times New Roman" w:cs="Times New Roman"/>
      <w:szCs w:val="24"/>
    </w:rPr>
  </w:style>
  <w:style w:type="character" w:customStyle="1" w:styleId="13">
    <w:name w:val="正文文本缩进 字符1"/>
    <w:link w:val="a8"/>
    <w:qFormat/>
    <w:rPr>
      <w:rFonts w:ascii="仿宋_GB2312" w:eastAsia="仿宋_GB2312" w:hAnsi="Times New Roman" w:cs="Times New Roman"/>
      <w:sz w:val="32"/>
      <w:szCs w:val="20"/>
    </w:rPr>
  </w:style>
  <w:style w:type="character" w:customStyle="1" w:styleId="afe">
    <w:name w:val="正文文本 字符"/>
    <w:uiPriority w:val="99"/>
    <w:semiHidden/>
    <w:qFormat/>
    <w:rPr>
      <w:rFonts w:ascii="Times New Roman" w:eastAsia="宋体" w:hAnsi="Times New Roman" w:cs="Times New Roman"/>
      <w:szCs w:val="24"/>
    </w:rPr>
  </w:style>
  <w:style w:type="character" w:customStyle="1" w:styleId="11">
    <w:name w:val="正文文本 字符1"/>
    <w:link w:val="a0"/>
    <w:qFormat/>
    <w:rPr>
      <w:rFonts w:ascii="Times New Roman" w:eastAsia="宋体" w:hAnsi="Times New Roman" w:cs="Times New Roman"/>
      <w:szCs w:val="24"/>
    </w:rPr>
  </w:style>
  <w:style w:type="character" w:customStyle="1" w:styleId="24">
    <w:name w:val="正文文本 2 字符"/>
    <w:uiPriority w:val="99"/>
    <w:semiHidden/>
    <w:qFormat/>
    <w:rPr>
      <w:rFonts w:ascii="Times New Roman" w:eastAsia="宋体" w:hAnsi="Times New Roman" w:cs="Times New Roman"/>
      <w:szCs w:val="24"/>
    </w:rPr>
  </w:style>
  <w:style w:type="character" w:customStyle="1" w:styleId="211">
    <w:name w:val="正文文本 2 字符1"/>
    <w:link w:val="22"/>
    <w:qFormat/>
    <w:rPr>
      <w:rFonts w:ascii="Times New Roman" w:eastAsia="宋体" w:hAnsi="Times New Roman" w:cs="Times New Roman"/>
      <w:szCs w:val="24"/>
    </w:rPr>
  </w:style>
  <w:style w:type="character" w:customStyle="1" w:styleId="aff">
    <w:name w:val="纯文本 字符"/>
    <w:uiPriority w:val="99"/>
    <w:semiHidden/>
    <w:qFormat/>
    <w:rPr>
      <w:rFonts w:ascii="等线" w:hAnsi="Courier New" w:cs="Courier New"/>
      <w:szCs w:val="24"/>
    </w:rPr>
  </w:style>
  <w:style w:type="character" w:customStyle="1" w:styleId="14">
    <w:name w:val="纯文本 字符1"/>
    <w:link w:val="a9"/>
    <w:qFormat/>
    <w:rPr>
      <w:rFonts w:ascii="宋体" w:eastAsia="宋体" w:hAnsi="Courier New" w:cs="Times New Roman"/>
      <w:szCs w:val="20"/>
    </w:rPr>
  </w:style>
  <w:style w:type="character" w:customStyle="1" w:styleId="30">
    <w:name w:val="正文文本缩进 3 字符"/>
    <w:uiPriority w:val="99"/>
    <w:semiHidden/>
    <w:qFormat/>
    <w:rPr>
      <w:rFonts w:ascii="Times New Roman" w:eastAsia="宋体" w:hAnsi="Times New Roman" w:cs="Times New Roman"/>
      <w:sz w:val="16"/>
      <w:szCs w:val="16"/>
    </w:rPr>
  </w:style>
  <w:style w:type="character" w:customStyle="1" w:styleId="31">
    <w:name w:val="正文文本缩进 3 字符1"/>
    <w:link w:val="3"/>
    <w:qFormat/>
    <w:rPr>
      <w:rFonts w:ascii="仿宋_GB2312" w:eastAsia="仿宋_GB2312" w:hAnsi="宋体" w:cs="Times New Roman"/>
      <w:kern w:val="28"/>
      <w:sz w:val="24"/>
      <w:szCs w:val="24"/>
    </w:rPr>
  </w:style>
  <w:style w:type="character" w:customStyle="1" w:styleId="25">
    <w:name w:val="正文文本缩进 2 字符"/>
    <w:uiPriority w:val="99"/>
    <w:semiHidden/>
    <w:qFormat/>
    <w:rPr>
      <w:rFonts w:ascii="Times New Roman" w:eastAsia="宋体" w:hAnsi="Times New Roman" w:cs="Times New Roman"/>
      <w:szCs w:val="24"/>
    </w:rPr>
  </w:style>
  <w:style w:type="character" w:customStyle="1" w:styleId="210">
    <w:name w:val="正文文本缩进 2 字符1"/>
    <w:link w:val="21"/>
    <w:qFormat/>
    <w:rPr>
      <w:rFonts w:ascii="仿宋_GB2312" w:eastAsia="仿宋_GB2312" w:hAnsi="宋体" w:cs="Times New Roman"/>
      <w:sz w:val="24"/>
      <w:szCs w:val="24"/>
    </w:rPr>
  </w:style>
  <w:style w:type="character" w:customStyle="1" w:styleId="17">
    <w:name w:val="访问过的超链接1"/>
    <w:qFormat/>
    <w:rPr>
      <w:color w:val="954F72"/>
      <w:u w:val="single"/>
    </w:rPr>
  </w:style>
  <w:style w:type="character" w:customStyle="1" w:styleId="Char4">
    <w:name w:val="列出段落 Char"/>
    <w:qFormat/>
    <w:rPr>
      <w:rFonts w:ascii="Calibri" w:eastAsia="宋体" w:hAnsi="Calibri" w:cs="Times New Roman"/>
      <w:kern w:val="0"/>
      <w:sz w:val="20"/>
      <w:szCs w:val="20"/>
    </w:rPr>
  </w:style>
  <w:style w:type="character" w:customStyle="1" w:styleId="stylekwd1">
    <w:name w:val="style_kwd1"/>
    <w:qFormat/>
    <w:rPr>
      <w:shd w:val="clear" w:color="auto" w:fill="FFFFA6"/>
    </w:rPr>
  </w:style>
  <w:style w:type="paragraph" w:customStyle="1" w:styleId="111">
    <w:name w:val="列出段落111"/>
    <w:basedOn w:val="a"/>
    <w:uiPriority w:val="99"/>
    <w:qFormat/>
    <w:pPr>
      <w:ind w:firstLineChars="200" w:firstLine="420"/>
    </w:pPr>
    <w:rPr>
      <w:rFonts w:ascii="Calibri" w:hAnsi="Calibri"/>
      <w:szCs w:val="22"/>
    </w:rPr>
  </w:style>
  <w:style w:type="paragraph" w:customStyle="1" w:styleId="18">
    <w:name w:val="列出段落1"/>
    <w:basedOn w:val="a"/>
    <w:qFormat/>
    <w:pPr>
      <w:ind w:firstLineChars="200" w:firstLine="420"/>
    </w:pPr>
    <w:rPr>
      <w:rFonts w:ascii="Calibri" w:hAnsi="Calibri"/>
      <w:szCs w:val="22"/>
    </w:rPr>
  </w:style>
  <w:style w:type="character" w:customStyle="1" w:styleId="aff0">
    <w:name w:val="文档结构图 字符"/>
    <w:uiPriority w:val="99"/>
    <w:semiHidden/>
    <w:qFormat/>
    <w:rPr>
      <w:rFonts w:ascii="Microsoft YaHei UI" w:eastAsia="Microsoft YaHei UI" w:hAnsi="Times New Roman" w:cs="Times New Roman"/>
      <w:sz w:val="18"/>
      <w:szCs w:val="18"/>
    </w:rPr>
  </w:style>
  <w:style w:type="character" w:customStyle="1" w:styleId="12">
    <w:name w:val="文档结构图 字符1"/>
    <w:link w:val="a5"/>
    <w:uiPriority w:val="99"/>
    <w:semiHidden/>
    <w:qFormat/>
    <w:rPr>
      <w:rFonts w:ascii="宋体" w:eastAsia="宋体" w:hAnsi="Times New Roman" w:cs="Times New Roman"/>
      <w:sz w:val="18"/>
      <w:szCs w:val="18"/>
    </w:rPr>
  </w:style>
  <w:style w:type="paragraph" w:customStyle="1" w:styleId="19">
    <w:name w:val="样式1"/>
    <w:basedOn w:val="2"/>
    <w:link w:val="1Char0"/>
    <w:qFormat/>
    <w:pPr>
      <w:tabs>
        <w:tab w:val="left" w:pos="1276"/>
        <w:tab w:val="left" w:pos="2127"/>
        <w:tab w:val="left" w:pos="2410"/>
        <w:tab w:val="left" w:pos="2552"/>
        <w:tab w:val="left" w:pos="2694"/>
        <w:tab w:val="left" w:pos="2977"/>
      </w:tabs>
    </w:pPr>
    <w:rPr>
      <w:rFonts w:ascii="楷体_GB2312" w:eastAsia="楷体_GB2312"/>
      <w:b w:val="0"/>
    </w:rPr>
  </w:style>
  <w:style w:type="character" w:customStyle="1" w:styleId="1Char0">
    <w:name w:val="样式1 Char"/>
    <w:link w:val="19"/>
    <w:qFormat/>
    <w:rPr>
      <w:rFonts w:ascii="楷体_GB2312" w:eastAsia="楷体_GB2312" w:hAnsi="Arial Unicode MS" w:cs="Arial Unicode MS"/>
      <w:sz w:val="32"/>
      <w:szCs w:val="32"/>
    </w:rPr>
  </w:style>
  <w:style w:type="paragraph" w:customStyle="1" w:styleId="32">
    <w:name w:val="样式3"/>
    <w:basedOn w:val="23"/>
    <w:link w:val="3Char"/>
    <w:qFormat/>
    <w:pPr>
      <w:tabs>
        <w:tab w:val="clear" w:pos="0"/>
        <w:tab w:val="left" w:pos="4395"/>
      </w:tabs>
      <w:ind w:left="4395" w:firstLineChars="0" w:firstLine="0"/>
    </w:pPr>
    <w:rPr>
      <w:b w:val="0"/>
    </w:rPr>
  </w:style>
  <w:style w:type="character" w:customStyle="1" w:styleId="3Char">
    <w:name w:val="样式3 Char"/>
    <w:link w:val="32"/>
    <w:qFormat/>
    <w:rPr>
      <w:rFonts w:ascii="楷体_GB2312" w:eastAsia="楷体_GB2312" w:hAnsi="Arial Unicode MS" w:cs="Arial Unicode MS"/>
      <w:sz w:val="32"/>
      <w:szCs w:val="32"/>
    </w:rPr>
  </w:style>
  <w:style w:type="paragraph" w:customStyle="1" w:styleId="4">
    <w:name w:val="样式4"/>
    <w:basedOn w:val="1"/>
    <w:link w:val="4Char"/>
    <w:qFormat/>
    <w:rPr>
      <w:b w:val="0"/>
      <w:bCs w:val="0"/>
    </w:rPr>
  </w:style>
  <w:style w:type="character" w:customStyle="1" w:styleId="4Char">
    <w:name w:val="样式4 Char"/>
    <w:link w:val="4"/>
    <w:qFormat/>
    <w:rPr>
      <w:rFonts w:ascii="黑体" w:eastAsia="黑体" w:hAnsi="Arial Unicode MS" w:cs="Arial Unicode MS"/>
      <w:kern w:val="44"/>
      <w:sz w:val="32"/>
      <w:szCs w:val="32"/>
    </w:rPr>
  </w:style>
  <w:style w:type="paragraph" w:customStyle="1" w:styleId="5">
    <w:name w:val="样式5"/>
    <w:basedOn w:val="4"/>
    <w:link w:val="5Char"/>
    <w:qFormat/>
    <w:pPr>
      <w:ind w:firstLine="640"/>
    </w:pPr>
    <w:rPr>
      <w:bCs/>
    </w:rPr>
  </w:style>
  <w:style w:type="character" w:customStyle="1" w:styleId="5Char">
    <w:name w:val="样式5 Char"/>
    <w:link w:val="5"/>
    <w:qFormat/>
    <w:rPr>
      <w:rFonts w:ascii="黑体" w:eastAsia="黑体" w:hAnsi="Arial Unicode MS" w:cs="Arial Unicode MS"/>
      <w:bCs/>
      <w:kern w:val="44"/>
      <w:sz w:val="32"/>
      <w:szCs w:val="32"/>
    </w:rPr>
  </w:style>
  <w:style w:type="paragraph" w:customStyle="1" w:styleId="6">
    <w:name w:val="样式6"/>
    <w:basedOn w:val="5"/>
    <w:link w:val="6Char"/>
    <w:qFormat/>
    <w:pPr>
      <w:tabs>
        <w:tab w:val="left" w:pos="1418"/>
      </w:tabs>
    </w:pPr>
    <w:rPr>
      <w:bCs w:val="0"/>
    </w:rPr>
  </w:style>
  <w:style w:type="character" w:customStyle="1" w:styleId="6Char">
    <w:name w:val="样式6 Char"/>
    <w:link w:val="6"/>
    <w:qFormat/>
    <w:rPr>
      <w:rFonts w:ascii="黑体" w:eastAsia="黑体" w:hAnsi="Arial Unicode MS" w:cs="Arial Unicode MS"/>
      <w:kern w:val="44"/>
      <w:sz w:val="32"/>
      <w:szCs w:val="32"/>
    </w:rPr>
  </w:style>
  <w:style w:type="paragraph" w:customStyle="1" w:styleId="Default">
    <w:name w:val="Default"/>
    <w:qFormat/>
    <w:pPr>
      <w:widowControl w:val="0"/>
      <w:autoSpaceDE w:val="0"/>
      <w:autoSpaceDN w:val="0"/>
      <w:adjustRightInd w:val="0"/>
    </w:pPr>
    <w:rPr>
      <w:rFonts w:ascii="宋体" w:eastAsia="宋体" w:hAnsi="Calibri" w:cs="宋体"/>
      <w:color w:val="000000"/>
      <w:sz w:val="24"/>
      <w:szCs w:val="24"/>
    </w:rPr>
  </w:style>
  <w:style w:type="character" w:customStyle="1" w:styleId="fontstyle21">
    <w:name w:val="fontstyle21"/>
    <w:qFormat/>
    <w:rPr>
      <w:rFonts w:ascii="Times" w:hAnsi="Times" w:hint="default"/>
      <w:color w:val="000000"/>
      <w:sz w:val="24"/>
      <w:szCs w:val="24"/>
    </w:rPr>
  </w:style>
  <w:style w:type="character" w:customStyle="1" w:styleId="threshold3">
    <w:name w:val="threshold3"/>
    <w:qFormat/>
    <w:rPr>
      <w:vanish/>
      <w:color w:val="FFFFFF"/>
      <w:sz w:val="2"/>
      <w:szCs w:val="2"/>
    </w:rPr>
  </w:style>
  <w:style w:type="paragraph" w:customStyle="1" w:styleId="26">
    <w:name w:val="修订2"/>
    <w:hidden/>
    <w:uiPriority w:val="99"/>
    <w:semiHidden/>
    <w:qFormat/>
    <w:rPr>
      <w:rFonts w:ascii="Times New Roman" w:eastAsia="宋体" w:hAnsi="Times New Roman"/>
      <w:kern w:val="2"/>
      <w:sz w:val="21"/>
      <w:szCs w:val="24"/>
    </w:rPr>
  </w:style>
  <w:style w:type="paragraph" w:customStyle="1" w:styleId="Style3">
    <w:name w:val="_Style 3"/>
    <w:basedOn w:val="a"/>
    <w:qFormat/>
    <w:pPr>
      <w:ind w:firstLineChars="200" w:firstLine="420"/>
    </w:pPr>
    <w:rPr>
      <w:szCs w:val="22"/>
    </w:rPr>
  </w:style>
  <w:style w:type="paragraph" w:customStyle="1" w:styleId="TOC10">
    <w:name w:val="TOC 标题1"/>
    <w:basedOn w:val="1"/>
    <w:next w:val="a"/>
    <w:uiPriority w:val="39"/>
    <w:unhideWhenUsed/>
    <w:qFormat/>
    <w:pPr>
      <w:widowControl/>
      <w:numPr>
        <w:numId w:val="0"/>
      </w:numPr>
      <w:tabs>
        <w:tab w:val="clear" w:pos="142"/>
      </w:tabs>
      <w:adjustRightInd/>
      <w:spacing w:before="240" w:line="259" w:lineRule="auto"/>
      <w:jc w:val="left"/>
      <w:textAlignment w:val="auto"/>
      <w:outlineLvl w:val="9"/>
    </w:pPr>
    <w:rPr>
      <w:rFonts w:asciiTheme="majorHAnsi" w:eastAsiaTheme="majorEastAsia" w:hAnsiTheme="majorHAnsi" w:cstheme="majorBidi"/>
      <w:b w:val="0"/>
      <w:bCs w:val="0"/>
      <w:color w:val="365F91" w:themeColor="accent1" w:themeShade="BF"/>
      <w:kern w:val="0"/>
    </w:rPr>
  </w:style>
  <w:style w:type="paragraph" w:customStyle="1" w:styleId="33">
    <w:name w:val="修订3"/>
    <w:hidden/>
    <w:uiPriority w:val="99"/>
    <w:semiHidden/>
    <w:qFormat/>
    <w:rPr>
      <w:rFonts w:ascii="Times New Roman" w:eastAsia="宋体" w:hAnsi="Times New Roman"/>
      <w:kern w:val="2"/>
      <w:sz w:val="21"/>
      <w:szCs w:val="24"/>
    </w:rPr>
  </w:style>
  <w:style w:type="paragraph" w:customStyle="1" w:styleId="40">
    <w:name w:val="修订4"/>
    <w:hidden/>
    <w:uiPriority w:val="99"/>
    <w:semiHidden/>
    <w:qFormat/>
    <w:rPr>
      <w:rFonts w:ascii="Times New Roman" w:eastAsia="宋体" w:hAnsi="Times New Roman"/>
      <w:kern w:val="2"/>
      <w:sz w:val="21"/>
      <w:szCs w:val="24"/>
    </w:rPr>
  </w:style>
  <w:style w:type="paragraph" w:customStyle="1" w:styleId="50">
    <w:name w:val="修订5"/>
    <w:hidden/>
    <w:uiPriority w:val="99"/>
    <w:semiHidden/>
    <w:qFormat/>
    <w:rPr>
      <w:rFonts w:ascii="Times New Roman" w:eastAsia="宋体" w:hAnsi="Times New Roman"/>
      <w:kern w:val="2"/>
      <w:sz w:val="21"/>
      <w:szCs w:val="24"/>
    </w:rPr>
  </w:style>
  <w:style w:type="paragraph" w:styleId="aff1">
    <w:name w:val="Revision"/>
    <w:hidden/>
    <w:uiPriority w:val="99"/>
    <w:unhideWhenUsed/>
    <w:rsid w:val="004C506B"/>
    <w:rPr>
      <w:rFonts w:ascii="Times New Roman" w:eastAsia="宋体"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142</Pages>
  <Words>10918</Words>
  <Characters>62233</Characters>
  <DocSecurity>0</DocSecurity>
  <Lines>518</Lines>
  <Paragraphs>146</Paragraphs>
  <ScaleCrop>false</ScaleCrop>
  <LinksUpToDate>false</LinksUpToDate>
  <CharactersWithSpaces>73005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2021-01-02T09:59:00Z</cp:lastPrinted>
  <dcterms:created xsi:type="dcterms:W3CDTF">2024-04-28T22:38:00Z</dcterms:created>
  <dcterms:modified xsi:type="dcterms:W3CDTF">2024-04-30T05:58:00Z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BDF81C1971E146748E64659590A1BD69</vt:lpwstr>
  </property>
</Properties>
</file>